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48" w:rsidRPr="00B1729F" w:rsidRDefault="00867CAF" w:rsidP="00927DDF">
      <w:pPr>
        <w:jc w:val="center"/>
        <w:rPr>
          <w:rFonts w:ascii="Arial" w:hAnsi="Arial" w:cs="Arial"/>
          <w:b/>
        </w:rPr>
      </w:pPr>
      <w:r>
        <w:rPr>
          <w:rFonts w:ascii="Arial" w:hAnsi="Arial" w:cs="Arial"/>
          <w:b/>
        </w:rPr>
        <w:t>S</w:t>
      </w:r>
      <w:r w:rsidR="00927DDF" w:rsidRPr="00B1729F">
        <w:rPr>
          <w:rFonts w:ascii="Arial" w:hAnsi="Arial" w:cs="Arial"/>
          <w:b/>
        </w:rPr>
        <w:t>ubmit</w:t>
      </w:r>
      <w:r>
        <w:rPr>
          <w:rFonts w:ascii="Arial" w:hAnsi="Arial" w:cs="Arial"/>
          <w:b/>
        </w:rPr>
        <w:t>ted</w:t>
      </w:r>
      <w:r w:rsidR="00927DDF" w:rsidRPr="00B1729F">
        <w:rPr>
          <w:rFonts w:ascii="Arial" w:hAnsi="Arial" w:cs="Arial"/>
          <w:b/>
        </w:rPr>
        <w:t xml:space="preserve"> RFI response</w:t>
      </w:r>
    </w:p>
    <w:p w:rsidR="00927DDF" w:rsidRDefault="00927DDF" w:rsidP="00927DDF">
      <w:pPr>
        <w:jc w:val="center"/>
        <w:rPr>
          <w:rFonts w:ascii="Arial" w:hAnsi="Arial" w:cs="Arial"/>
          <w:b/>
          <w:i/>
          <w:sz w:val="18"/>
          <w:szCs w:val="18"/>
        </w:rPr>
      </w:pPr>
      <w:r w:rsidRPr="00B1729F">
        <w:rPr>
          <w:rFonts w:ascii="Arial" w:hAnsi="Arial" w:cs="Arial"/>
          <w:b/>
          <w:i/>
          <w:sz w:val="18"/>
          <w:szCs w:val="18"/>
        </w:rPr>
        <w:t>In alphabetical order</w:t>
      </w:r>
    </w:p>
    <w:p w:rsidR="00984C36" w:rsidRPr="00B1729F" w:rsidRDefault="00984C36" w:rsidP="00927DDF">
      <w:pPr>
        <w:jc w:val="center"/>
        <w:rPr>
          <w:rFonts w:ascii="Arial" w:hAnsi="Arial" w:cs="Arial"/>
          <w:b/>
          <w:i/>
          <w:sz w:val="18"/>
          <w:szCs w:val="18"/>
        </w:rPr>
      </w:pPr>
    </w:p>
    <w:p w:rsidR="00927DDF" w:rsidRPr="00B1729F" w:rsidRDefault="00927DDF" w:rsidP="00927DDF">
      <w:pPr>
        <w:jc w:val="center"/>
        <w:rPr>
          <w:rFonts w:ascii="Arial" w:hAnsi="Arial" w:cs="Arial"/>
          <w:b/>
        </w:rPr>
      </w:pPr>
    </w:p>
    <w:tbl>
      <w:tblPr>
        <w:tblStyle w:val="TableGrid"/>
        <w:tblW w:w="14508" w:type="dxa"/>
        <w:tblLook w:val="04A0" w:firstRow="1" w:lastRow="0" w:firstColumn="1" w:lastColumn="0" w:noHBand="0" w:noVBand="1"/>
      </w:tblPr>
      <w:tblGrid>
        <w:gridCol w:w="3528"/>
        <w:gridCol w:w="2856"/>
        <w:gridCol w:w="8124"/>
      </w:tblGrid>
      <w:tr w:rsidR="00927DDF" w:rsidRPr="00B1729F" w:rsidTr="00AC2134">
        <w:tc>
          <w:tcPr>
            <w:tcW w:w="3528" w:type="dxa"/>
          </w:tcPr>
          <w:p w:rsidR="00927DDF" w:rsidRPr="00B1729F" w:rsidRDefault="00927DDF" w:rsidP="00927DDF">
            <w:pPr>
              <w:rPr>
                <w:rFonts w:ascii="Arial" w:hAnsi="Arial" w:cs="Arial"/>
                <w:b/>
              </w:rPr>
            </w:pPr>
            <w:r w:rsidRPr="00B1729F">
              <w:rPr>
                <w:rFonts w:ascii="Arial" w:hAnsi="Arial" w:cs="Arial"/>
                <w:b/>
              </w:rPr>
              <w:t>Organization Name</w:t>
            </w:r>
          </w:p>
        </w:tc>
        <w:tc>
          <w:tcPr>
            <w:tcW w:w="2856" w:type="dxa"/>
            <w:vAlign w:val="center"/>
          </w:tcPr>
          <w:p w:rsidR="00927DDF" w:rsidRPr="00B1729F" w:rsidRDefault="00927DDF" w:rsidP="00BB7E06">
            <w:pPr>
              <w:rPr>
                <w:rFonts w:ascii="Arial" w:hAnsi="Arial" w:cs="Arial"/>
                <w:b/>
              </w:rPr>
            </w:pPr>
            <w:r w:rsidRPr="00B1729F">
              <w:rPr>
                <w:rFonts w:ascii="Arial" w:hAnsi="Arial" w:cs="Arial"/>
                <w:b/>
              </w:rPr>
              <w:t>City/State</w:t>
            </w:r>
          </w:p>
        </w:tc>
        <w:tc>
          <w:tcPr>
            <w:tcW w:w="8124" w:type="dxa"/>
          </w:tcPr>
          <w:p w:rsidR="00927DDF" w:rsidRPr="00B1729F" w:rsidRDefault="00927DDF" w:rsidP="00927DDF">
            <w:pPr>
              <w:rPr>
                <w:rFonts w:ascii="Arial" w:hAnsi="Arial" w:cs="Arial"/>
                <w:b/>
              </w:rPr>
            </w:pPr>
            <w:r w:rsidRPr="00B1729F">
              <w:rPr>
                <w:rFonts w:ascii="Arial" w:hAnsi="Arial" w:cs="Arial"/>
                <w:b/>
              </w:rPr>
              <w:t>Core Competencies Description</w:t>
            </w:r>
            <w:r w:rsidR="00AC2134">
              <w:rPr>
                <w:rFonts w:ascii="Arial" w:hAnsi="Arial" w:cs="Arial"/>
                <w:b/>
              </w:rPr>
              <w:t xml:space="preserve"> provided by vendor</w:t>
            </w:r>
          </w:p>
        </w:tc>
      </w:tr>
      <w:tr w:rsidR="006F4928" w:rsidRPr="00422A8D" w:rsidTr="00AC2134">
        <w:tc>
          <w:tcPr>
            <w:tcW w:w="3528" w:type="dxa"/>
            <w:vAlign w:val="center"/>
          </w:tcPr>
          <w:p w:rsidR="006F4928" w:rsidRPr="006F4928" w:rsidRDefault="006F4928" w:rsidP="00422A8D">
            <w:pPr>
              <w:rPr>
                <w:rFonts w:ascii="Arial" w:hAnsi="Arial" w:cs="Arial"/>
                <w:sz w:val="20"/>
                <w:szCs w:val="20"/>
              </w:rPr>
            </w:pPr>
            <w:r w:rsidRPr="006F4928">
              <w:rPr>
                <w:rFonts w:ascii="Arial" w:hAnsi="Arial" w:cs="Arial"/>
                <w:sz w:val="20"/>
                <w:szCs w:val="20"/>
              </w:rPr>
              <w:t>ACT</w:t>
            </w:r>
          </w:p>
        </w:tc>
        <w:tc>
          <w:tcPr>
            <w:tcW w:w="2856" w:type="dxa"/>
            <w:vAlign w:val="center"/>
          </w:tcPr>
          <w:p w:rsidR="006F4928" w:rsidRPr="006F4928" w:rsidRDefault="006F4928" w:rsidP="00422A8D">
            <w:pPr>
              <w:rPr>
                <w:rFonts w:ascii="Arial" w:hAnsi="Arial" w:cs="Arial"/>
                <w:sz w:val="20"/>
                <w:szCs w:val="20"/>
              </w:rPr>
            </w:pPr>
            <w:r w:rsidRPr="006F4928">
              <w:rPr>
                <w:rFonts w:ascii="Arial" w:hAnsi="Arial" w:cs="Arial"/>
                <w:sz w:val="20"/>
                <w:szCs w:val="20"/>
              </w:rPr>
              <w:t>Iowa City, IA</w:t>
            </w:r>
          </w:p>
        </w:tc>
        <w:tc>
          <w:tcPr>
            <w:tcW w:w="8124" w:type="dxa"/>
          </w:tcPr>
          <w:p w:rsidR="006F4928" w:rsidRDefault="006F4928" w:rsidP="006F4928">
            <w:pPr>
              <w:rPr>
                <w:rFonts w:ascii="Arial" w:hAnsi="Arial" w:cs="Arial"/>
                <w:sz w:val="20"/>
                <w:szCs w:val="20"/>
              </w:rPr>
            </w:pPr>
            <w:r w:rsidRPr="006F4928">
              <w:rPr>
                <w:rFonts w:ascii="Arial" w:hAnsi="Arial" w:cs="Arial"/>
                <w:sz w:val="20"/>
                <w:szCs w:val="20"/>
              </w:rPr>
              <w:t>ACT has been assisting thousands of individuals since 1959 with tools for both College and Career preparation and success.  Our current portfolio of services, assessments, and research has and currently is positively impacting the lives of Colorado residents. Some recently highlights include:</w:t>
            </w:r>
          </w:p>
          <w:p w:rsidR="006F4928" w:rsidRPr="006F4928" w:rsidRDefault="006F4928" w:rsidP="006F4928">
            <w:pPr>
              <w:rPr>
                <w:rFonts w:ascii="Arial" w:hAnsi="Arial" w:cs="Arial"/>
                <w:sz w:val="20"/>
                <w:szCs w:val="20"/>
              </w:rPr>
            </w:pPr>
          </w:p>
          <w:p w:rsidR="006F4928" w:rsidRPr="006F4928" w:rsidRDefault="006F4928" w:rsidP="006F4928">
            <w:pPr>
              <w:pStyle w:val="ListParagraph"/>
              <w:numPr>
                <w:ilvl w:val="0"/>
                <w:numId w:val="4"/>
              </w:numPr>
              <w:rPr>
                <w:rFonts w:ascii="Arial" w:hAnsi="Arial" w:cs="Arial"/>
                <w:sz w:val="18"/>
                <w:szCs w:val="18"/>
              </w:rPr>
            </w:pPr>
            <w:proofErr w:type="spellStart"/>
            <w:r w:rsidRPr="006F4928">
              <w:rPr>
                <w:rFonts w:ascii="Arial" w:hAnsi="Arial" w:cs="Arial"/>
                <w:sz w:val="18"/>
                <w:szCs w:val="18"/>
              </w:rPr>
              <w:t>CollegeReady</w:t>
            </w:r>
            <w:proofErr w:type="spellEnd"/>
            <w:r w:rsidRPr="006F4928">
              <w:rPr>
                <w:rFonts w:ascii="Arial" w:hAnsi="Arial" w:cs="Arial"/>
                <w:sz w:val="18"/>
                <w:szCs w:val="18"/>
              </w:rPr>
              <w:t xml:space="preserve"> – an online platform that reviews prospective postsecondary student individual academic strengths, provides identified academic development, and subsequently prepares those same students for success in entry level college courses.</w:t>
            </w:r>
          </w:p>
          <w:p w:rsidR="006F4928" w:rsidRPr="006F4928" w:rsidRDefault="006F4928" w:rsidP="006F4928">
            <w:pPr>
              <w:pStyle w:val="ListParagraph"/>
              <w:numPr>
                <w:ilvl w:val="0"/>
                <w:numId w:val="4"/>
              </w:numPr>
              <w:rPr>
                <w:rFonts w:ascii="Arial" w:hAnsi="Arial" w:cs="Arial"/>
                <w:sz w:val="18"/>
                <w:szCs w:val="18"/>
              </w:rPr>
            </w:pPr>
            <w:r w:rsidRPr="006F4928">
              <w:rPr>
                <w:rFonts w:ascii="Arial" w:hAnsi="Arial" w:cs="Arial"/>
                <w:sz w:val="18"/>
                <w:szCs w:val="18"/>
              </w:rPr>
              <w:t>ACT</w:t>
            </w:r>
            <w:proofErr w:type="gramStart"/>
            <w:r w:rsidRPr="006F4928">
              <w:rPr>
                <w:rFonts w:ascii="Arial" w:hAnsi="Arial" w:cs="Arial"/>
                <w:sz w:val="18"/>
                <w:szCs w:val="18"/>
              </w:rPr>
              <w:t>  Academy</w:t>
            </w:r>
            <w:proofErr w:type="gramEnd"/>
            <w:r w:rsidRPr="006F4928">
              <w:rPr>
                <w:rFonts w:ascii="Arial" w:hAnsi="Arial" w:cs="Arial"/>
                <w:sz w:val="18"/>
                <w:szCs w:val="18"/>
              </w:rPr>
              <w:t xml:space="preserve"> – A new and revolutionary digital library of free resources which enable students at all level K-12 with resources to prepare for academic success. The ACT Academy contains learning resources for top names in online education including </w:t>
            </w:r>
            <w:proofErr w:type="spellStart"/>
            <w:r w:rsidRPr="006F4928">
              <w:rPr>
                <w:rFonts w:ascii="Arial" w:hAnsi="Arial" w:cs="Arial"/>
                <w:sz w:val="18"/>
                <w:szCs w:val="18"/>
              </w:rPr>
              <w:t>Flocabulary</w:t>
            </w:r>
            <w:proofErr w:type="spellEnd"/>
            <w:r w:rsidRPr="006F4928">
              <w:rPr>
                <w:rFonts w:ascii="Arial" w:hAnsi="Arial" w:cs="Arial"/>
                <w:sz w:val="18"/>
                <w:szCs w:val="18"/>
              </w:rPr>
              <w:t xml:space="preserve">, Smithsonian, PBS, Kahn Academy, Bill Nye </w:t>
            </w:r>
            <w:proofErr w:type="gramStart"/>
            <w:r w:rsidRPr="006F4928">
              <w:rPr>
                <w:rFonts w:ascii="Arial" w:hAnsi="Arial" w:cs="Arial"/>
                <w:sz w:val="18"/>
                <w:szCs w:val="18"/>
              </w:rPr>
              <w:t>The</w:t>
            </w:r>
            <w:proofErr w:type="gramEnd"/>
            <w:r w:rsidRPr="006F4928">
              <w:rPr>
                <w:rFonts w:ascii="Arial" w:hAnsi="Arial" w:cs="Arial"/>
                <w:sz w:val="18"/>
                <w:szCs w:val="18"/>
              </w:rPr>
              <w:t xml:space="preserve"> Science guy and more.</w:t>
            </w:r>
          </w:p>
          <w:p w:rsidR="006F4928" w:rsidRPr="006F4928" w:rsidRDefault="006F4928" w:rsidP="006F4928">
            <w:pPr>
              <w:pStyle w:val="ListParagraph"/>
              <w:numPr>
                <w:ilvl w:val="0"/>
                <w:numId w:val="4"/>
              </w:numPr>
              <w:rPr>
                <w:rFonts w:ascii="Arial" w:hAnsi="Arial" w:cs="Arial"/>
                <w:sz w:val="18"/>
                <w:szCs w:val="18"/>
              </w:rPr>
            </w:pPr>
            <w:r w:rsidRPr="006F4928">
              <w:rPr>
                <w:rFonts w:ascii="Arial" w:hAnsi="Arial" w:cs="Arial"/>
                <w:sz w:val="18"/>
                <w:szCs w:val="18"/>
              </w:rPr>
              <w:t xml:space="preserve">ACT </w:t>
            </w:r>
            <w:proofErr w:type="spellStart"/>
            <w:r w:rsidRPr="006F4928">
              <w:rPr>
                <w:rFonts w:ascii="Arial" w:hAnsi="Arial" w:cs="Arial"/>
                <w:sz w:val="18"/>
                <w:szCs w:val="18"/>
              </w:rPr>
              <w:t>WorkKeys</w:t>
            </w:r>
            <w:proofErr w:type="spellEnd"/>
            <w:r w:rsidRPr="006F4928">
              <w:rPr>
                <w:rFonts w:ascii="Arial" w:hAnsi="Arial" w:cs="Arial"/>
                <w:sz w:val="18"/>
                <w:szCs w:val="18"/>
              </w:rPr>
              <w:t xml:space="preserve">, Key train and Career 101.  The </w:t>
            </w:r>
            <w:proofErr w:type="spellStart"/>
            <w:r w:rsidRPr="006F4928">
              <w:rPr>
                <w:rFonts w:ascii="Arial" w:hAnsi="Arial" w:cs="Arial"/>
                <w:sz w:val="18"/>
                <w:szCs w:val="18"/>
              </w:rPr>
              <w:t>WorkKeys</w:t>
            </w:r>
            <w:proofErr w:type="spellEnd"/>
            <w:r w:rsidRPr="006F4928">
              <w:rPr>
                <w:rFonts w:ascii="Arial" w:hAnsi="Arial" w:cs="Arial"/>
                <w:sz w:val="18"/>
                <w:szCs w:val="18"/>
              </w:rPr>
              <w:t xml:space="preserve"> platform contains a series of assessments designed to review any </w:t>
            </w:r>
            <w:proofErr w:type="gramStart"/>
            <w:r w:rsidRPr="006F4928">
              <w:rPr>
                <w:rFonts w:ascii="Arial" w:hAnsi="Arial" w:cs="Arial"/>
                <w:sz w:val="18"/>
                <w:szCs w:val="18"/>
              </w:rPr>
              <w:t>individuals</w:t>
            </w:r>
            <w:proofErr w:type="gramEnd"/>
            <w:r w:rsidRPr="006F4928">
              <w:rPr>
                <w:rFonts w:ascii="Arial" w:hAnsi="Arial" w:cs="Arial"/>
                <w:sz w:val="18"/>
                <w:szCs w:val="18"/>
              </w:rPr>
              <w:t xml:space="preserve"> readiness for success in ACT’s database of over 20,000 profiled careers and jobs. Use of the </w:t>
            </w:r>
            <w:proofErr w:type="spellStart"/>
            <w:r w:rsidRPr="006F4928">
              <w:rPr>
                <w:rFonts w:ascii="Arial" w:hAnsi="Arial" w:cs="Arial"/>
                <w:sz w:val="18"/>
                <w:szCs w:val="18"/>
              </w:rPr>
              <w:t>WorkKeys</w:t>
            </w:r>
            <w:proofErr w:type="spellEnd"/>
            <w:r w:rsidRPr="006F4928">
              <w:rPr>
                <w:rFonts w:ascii="Arial" w:hAnsi="Arial" w:cs="Arial"/>
                <w:sz w:val="18"/>
                <w:szCs w:val="18"/>
              </w:rPr>
              <w:t xml:space="preserve"> tool can also lead to individuals receiving the National Career Readiness Certificate (NCRC), a tool nationally recognized by employers and industry for workforce skill certification. </w:t>
            </w:r>
            <w:proofErr w:type="spellStart"/>
            <w:r w:rsidRPr="006F4928">
              <w:rPr>
                <w:rFonts w:ascii="Arial" w:hAnsi="Arial" w:cs="Arial"/>
                <w:sz w:val="18"/>
                <w:szCs w:val="18"/>
              </w:rPr>
              <w:t>WorkKeys</w:t>
            </w:r>
            <w:proofErr w:type="spellEnd"/>
            <w:r w:rsidRPr="006F4928">
              <w:rPr>
                <w:rFonts w:ascii="Arial" w:hAnsi="Arial" w:cs="Arial"/>
                <w:sz w:val="18"/>
                <w:szCs w:val="18"/>
              </w:rPr>
              <w:t xml:space="preserve"> is currently in use as an alternate high school graduation requirement, helping with reskilling efforts in partnership with the Colorado Department of Labor, and played a major role as an economic development tool in Mesa County. </w:t>
            </w:r>
          </w:p>
          <w:p w:rsidR="006F4928" w:rsidRPr="006F4928" w:rsidRDefault="006F4928" w:rsidP="006F4928">
            <w:pPr>
              <w:pStyle w:val="ListParagraph"/>
              <w:numPr>
                <w:ilvl w:val="0"/>
                <w:numId w:val="4"/>
              </w:numPr>
              <w:rPr>
                <w:rFonts w:ascii="Arial" w:hAnsi="Arial" w:cs="Arial"/>
                <w:sz w:val="18"/>
                <w:szCs w:val="18"/>
              </w:rPr>
            </w:pPr>
            <w:r w:rsidRPr="006F4928">
              <w:rPr>
                <w:rFonts w:ascii="Arial" w:hAnsi="Arial" w:cs="Arial"/>
                <w:sz w:val="18"/>
                <w:szCs w:val="18"/>
              </w:rPr>
              <w:t xml:space="preserve">ACT, </w:t>
            </w:r>
            <w:proofErr w:type="spellStart"/>
            <w:r w:rsidRPr="006F4928">
              <w:rPr>
                <w:rFonts w:ascii="Arial" w:hAnsi="Arial" w:cs="Arial"/>
                <w:sz w:val="18"/>
                <w:szCs w:val="18"/>
              </w:rPr>
              <w:t>PreACT</w:t>
            </w:r>
            <w:proofErr w:type="spellEnd"/>
            <w:r w:rsidRPr="006F4928">
              <w:rPr>
                <w:rFonts w:ascii="Arial" w:hAnsi="Arial" w:cs="Arial"/>
                <w:sz w:val="18"/>
                <w:szCs w:val="18"/>
              </w:rPr>
              <w:t>, and ACT Aspire – Assessments.  ACT Also continues to be the lead in College and Career Readiness in the K-12 space through these well-established student assessment systems.</w:t>
            </w:r>
          </w:p>
          <w:p w:rsidR="006F4928" w:rsidRPr="006F4928" w:rsidRDefault="006F4928" w:rsidP="00422A8D">
            <w:pPr>
              <w:rPr>
                <w:rFonts w:ascii="Arial" w:hAnsi="Arial" w:cs="Arial"/>
                <w:sz w:val="20"/>
                <w:szCs w:val="20"/>
              </w:rPr>
            </w:pPr>
          </w:p>
        </w:tc>
      </w:tr>
      <w:tr w:rsidR="00984C36" w:rsidRPr="00422A8D" w:rsidTr="00AC2134">
        <w:tc>
          <w:tcPr>
            <w:tcW w:w="3528" w:type="dxa"/>
            <w:vAlign w:val="center"/>
          </w:tcPr>
          <w:p w:rsidR="00B2615D" w:rsidRPr="00422A8D" w:rsidRDefault="00B2615D" w:rsidP="00422A8D">
            <w:pPr>
              <w:rPr>
                <w:rFonts w:ascii="Arial" w:hAnsi="Arial" w:cs="Arial"/>
                <w:sz w:val="20"/>
                <w:szCs w:val="20"/>
              </w:rPr>
            </w:pPr>
            <w:r w:rsidRPr="00422A8D">
              <w:rPr>
                <w:rFonts w:ascii="Arial" w:hAnsi="Arial" w:cs="Arial"/>
                <w:sz w:val="20"/>
                <w:szCs w:val="20"/>
              </w:rPr>
              <w:t>Bits In Glass (</w:t>
            </w:r>
            <w:proofErr w:type="spellStart"/>
            <w:r w:rsidRPr="00422A8D">
              <w:rPr>
                <w:rFonts w:ascii="Arial" w:hAnsi="Arial" w:cs="Arial"/>
                <w:sz w:val="20"/>
                <w:szCs w:val="20"/>
              </w:rPr>
              <w:t>Mulesoft</w:t>
            </w:r>
            <w:proofErr w:type="spellEnd"/>
            <w:r w:rsidRPr="00422A8D">
              <w:rPr>
                <w:rFonts w:ascii="Arial" w:hAnsi="Arial" w:cs="Arial"/>
                <w:sz w:val="20"/>
                <w:szCs w:val="20"/>
              </w:rPr>
              <w:t xml:space="preserve">, </w:t>
            </w:r>
            <w:proofErr w:type="spellStart"/>
            <w:r w:rsidRPr="00422A8D">
              <w:rPr>
                <w:rFonts w:ascii="Arial" w:hAnsi="Arial" w:cs="Arial"/>
                <w:sz w:val="20"/>
                <w:szCs w:val="20"/>
              </w:rPr>
              <w:t>Salesforce</w:t>
            </w:r>
            <w:proofErr w:type="spellEnd"/>
            <w:r w:rsidRPr="00422A8D">
              <w:rPr>
                <w:rFonts w:ascii="Arial" w:hAnsi="Arial" w:cs="Arial"/>
                <w:sz w:val="20"/>
                <w:szCs w:val="20"/>
              </w:rPr>
              <w:t xml:space="preserve"> &amp; Appian)</w:t>
            </w:r>
          </w:p>
        </w:tc>
        <w:tc>
          <w:tcPr>
            <w:tcW w:w="2856" w:type="dxa"/>
            <w:vAlign w:val="center"/>
          </w:tcPr>
          <w:p w:rsidR="00B2615D" w:rsidRPr="00422A8D" w:rsidRDefault="00B2615D" w:rsidP="00422A8D">
            <w:pPr>
              <w:rPr>
                <w:rFonts w:ascii="Arial" w:hAnsi="Arial" w:cs="Arial"/>
                <w:sz w:val="20"/>
                <w:szCs w:val="20"/>
              </w:rPr>
            </w:pPr>
            <w:r w:rsidRPr="00422A8D">
              <w:rPr>
                <w:rFonts w:ascii="Arial" w:hAnsi="Arial" w:cs="Arial"/>
                <w:sz w:val="20"/>
                <w:szCs w:val="20"/>
              </w:rPr>
              <w:t>Denver, CO</w:t>
            </w:r>
          </w:p>
          <w:p w:rsidR="00B2615D" w:rsidRPr="00422A8D" w:rsidRDefault="00B2615D" w:rsidP="00422A8D">
            <w:pPr>
              <w:rPr>
                <w:rFonts w:ascii="Arial" w:hAnsi="Arial" w:cs="Arial"/>
                <w:sz w:val="20"/>
                <w:szCs w:val="20"/>
                <w:lang w:val="es-MX"/>
              </w:rPr>
            </w:pPr>
            <w:r w:rsidRPr="00422A8D">
              <w:rPr>
                <w:rFonts w:ascii="Arial" w:hAnsi="Arial" w:cs="Arial"/>
                <w:sz w:val="20"/>
                <w:szCs w:val="20"/>
                <w:lang w:val="es-MX"/>
              </w:rPr>
              <w:t xml:space="preserve">Edmonton, Calgary, Montreal, Toronto, </w:t>
            </w:r>
            <w:proofErr w:type="spellStart"/>
            <w:r w:rsidRPr="00422A8D">
              <w:rPr>
                <w:rFonts w:ascii="Arial" w:hAnsi="Arial" w:cs="Arial"/>
                <w:sz w:val="20"/>
                <w:szCs w:val="20"/>
                <w:lang w:val="es-MX"/>
              </w:rPr>
              <w:t>Canada</w:t>
            </w:r>
            <w:proofErr w:type="spellEnd"/>
          </w:p>
        </w:tc>
        <w:tc>
          <w:tcPr>
            <w:tcW w:w="8124" w:type="dxa"/>
          </w:tcPr>
          <w:p w:rsidR="00B2615D" w:rsidRPr="00422A8D" w:rsidRDefault="00B2615D" w:rsidP="00422A8D">
            <w:pPr>
              <w:shd w:val="clear" w:color="auto" w:fill="FFFFFF"/>
              <w:rPr>
                <w:rFonts w:ascii="Arial" w:hAnsi="Arial" w:cs="Arial"/>
                <w:sz w:val="20"/>
                <w:szCs w:val="20"/>
              </w:rPr>
            </w:pPr>
            <w:r w:rsidRPr="00422A8D">
              <w:rPr>
                <w:rFonts w:ascii="Arial" w:hAnsi="Arial" w:cs="Arial"/>
                <w:sz w:val="20"/>
                <w:szCs w:val="20"/>
              </w:rPr>
              <w:t>Bits In Glass, an Award Winning </w:t>
            </w:r>
            <w:proofErr w:type="spellStart"/>
            <w:r w:rsidRPr="00422A8D">
              <w:rPr>
                <w:rFonts w:ascii="Arial" w:hAnsi="Arial" w:cs="Arial"/>
                <w:sz w:val="20"/>
                <w:szCs w:val="20"/>
              </w:rPr>
              <w:t>MuleSoft</w:t>
            </w:r>
            <w:proofErr w:type="spellEnd"/>
            <w:r w:rsidRPr="00422A8D">
              <w:rPr>
                <w:rFonts w:ascii="Arial" w:hAnsi="Arial" w:cs="Arial"/>
                <w:sz w:val="20"/>
                <w:szCs w:val="20"/>
              </w:rPr>
              <w:t> and Appian Partner brings market leading solutions based on these two platforms to our Clients in State / Local, Enterprise and Mid-Market segments.</w:t>
            </w:r>
          </w:p>
          <w:p w:rsidR="00B2615D" w:rsidRPr="00422A8D" w:rsidRDefault="00B2615D" w:rsidP="00422A8D">
            <w:pPr>
              <w:shd w:val="clear" w:color="auto" w:fill="FFFFFF"/>
              <w:rPr>
                <w:rFonts w:ascii="Arial" w:hAnsi="Arial" w:cs="Arial"/>
                <w:sz w:val="20"/>
                <w:szCs w:val="20"/>
              </w:rPr>
            </w:pPr>
          </w:p>
          <w:p w:rsidR="00B2615D" w:rsidRPr="00422A8D" w:rsidRDefault="00B2615D" w:rsidP="00422A8D">
            <w:pPr>
              <w:shd w:val="clear" w:color="auto" w:fill="FFFFFF"/>
              <w:rPr>
                <w:rFonts w:ascii="Arial" w:hAnsi="Arial" w:cs="Arial"/>
                <w:sz w:val="20"/>
                <w:szCs w:val="20"/>
              </w:rPr>
            </w:pPr>
            <w:r w:rsidRPr="00422A8D">
              <w:rPr>
                <w:rFonts w:ascii="Arial" w:hAnsi="Arial" w:cs="Arial"/>
                <w:sz w:val="20"/>
                <w:szCs w:val="20"/>
              </w:rPr>
              <w:t>By leveraging the power of </w:t>
            </w:r>
            <w:proofErr w:type="spellStart"/>
            <w:r w:rsidRPr="00422A8D">
              <w:rPr>
                <w:rFonts w:ascii="Arial" w:hAnsi="Arial" w:cs="Arial"/>
                <w:sz w:val="20"/>
                <w:szCs w:val="20"/>
              </w:rPr>
              <w:t>MuleSoft's</w:t>
            </w:r>
            <w:proofErr w:type="spellEnd"/>
            <w:r w:rsidRPr="00422A8D">
              <w:rPr>
                <w:rFonts w:ascii="Arial" w:hAnsi="Arial" w:cs="Arial"/>
                <w:sz w:val="20"/>
                <w:szCs w:val="20"/>
              </w:rPr>
              <w:t> platform to connect anything to anything and Appian's modern work platform we can provide:</w:t>
            </w:r>
          </w:p>
          <w:p w:rsidR="00B2615D" w:rsidRPr="00422A8D" w:rsidRDefault="00B2615D" w:rsidP="00422A8D">
            <w:pPr>
              <w:shd w:val="clear" w:color="auto" w:fill="FFFFFF"/>
              <w:rPr>
                <w:rFonts w:ascii="Arial" w:hAnsi="Arial" w:cs="Arial"/>
                <w:sz w:val="20"/>
                <w:szCs w:val="20"/>
              </w:rPr>
            </w:pPr>
          </w:p>
          <w:p w:rsidR="00B2615D" w:rsidRPr="00422A8D" w:rsidRDefault="00B2615D" w:rsidP="00422A8D">
            <w:pPr>
              <w:shd w:val="clear" w:color="auto" w:fill="FFFFFF"/>
              <w:rPr>
                <w:rFonts w:ascii="Arial" w:hAnsi="Arial" w:cs="Arial"/>
                <w:sz w:val="20"/>
                <w:szCs w:val="20"/>
              </w:rPr>
            </w:pPr>
            <w:r w:rsidRPr="00422A8D">
              <w:rPr>
                <w:rFonts w:ascii="Arial" w:hAnsi="Arial" w:cs="Arial"/>
                <w:sz w:val="20"/>
                <w:szCs w:val="20"/>
              </w:rPr>
              <w:t>- Single pane of glass UX</w:t>
            </w:r>
          </w:p>
          <w:p w:rsidR="00B2615D" w:rsidRPr="00422A8D" w:rsidRDefault="00B2615D" w:rsidP="00422A8D">
            <w:pPr>
              <w:shd w:val="clear" w:color="auto" w:fill="FFFFFF"/>
              <w:rPr>
                <w:rFonts w:ascii="Arial" w:hAnsi="Arial" w:cs="Arial"/>
                <w:sz w:val="20"/>
                <w:szCs w:val="20"/>
              </w:rPr>
            </w:pPr>
            <w:r w:rsidRPr="00422A8D">
              <w:rPr>
                <w:rFonts w:ascii="Arial" w:hAnsi="Arial" w:cs="Arial"/>
                <w:sz w:val="20"/>
                <w:szCs w:val="20"/>
              </w:rPr>
              <w:t>- Connectivity to all end points</w:t>
            </w:r>
          </w:p>
          <w:p w:rsidR="00B2615D" w:rsidRPr="00422A8D" w:rsidRDefault="00B2615D" w:rsidP="00422A8D">
            <w:pPr>
              <w:shd w:val="clear" w:color="auto" w:fill="FFFFFF"/>
              <w:rPr>
                <w:rFonts w:ascii="Arial" w:hAnsi="Arial" w:cs="Arial"/>
                <w:sz w:val="20"/>
                <w:szCs w:val="20"/>
              </w:rPr>
            </w:pPr>
            <w:r w:rsidRPr="00422A8D">
              <w:rPr>
                <w:rFonts w:ascii="Arial" w:hAnsi="Arial" w:cs="Arial"/>
                <w:sz w:val="20"/>
                <w:szCs w:val="20"/>
              </w:rPr>
              <w:t>- Modern Workflow</w:t>
            </w:r>
          </w:p>
          <w:p w:rsidR="00B2615D" w:rsidRPr="00422A8D" w:rsidRDefault="00B2615D" w:rsidP="00422A8D">
            <w:pPr>
              <w:shd w:val="clear" w:color="auto" w:fill="FFFFFF"/>
              <w:rPr>
                <w:rFonts w:ascii="Arial" w:hAnsi="Arial" w:cs="Arial"/>
                <w:sz w:val="20"/>
                <w:szCs w:val="20"/>
              </w:rPr>
            </w:pPr>
            <w:r w:rsidRPr="00422A8D">
              <w:rPr>
                <w:rFonts w:ascii="Arial" w:hAnsi="Arial" w:cs="Arial"/>
                <w:sz w:val="20"/>
                <w:szCs w:val="20"/>
              </w:rPr>
              <w:t>- Dynamic Case Management</w:t>
            </w:r>
          </w:p>
          <w:p w:rsidR="00B2615D" w:rsidRPr="00422A8D" w:rsidRDefault="00B2615D" w:rsidP="00422A8D">
            <w:pPr>
              <w:shd w:val="clear" w:color="auto" w:fill="FFFFFF"/>
              <w:rPr>
                <w:rFonts w:ascii="Arial" w:hAnsi="Arial" w:cs="Arial"/>
                <w:sz w:val="20"/>
                <w:szCs w:val="20"/>
              </w:rPr>
            </w:pPr>
            <w:r w:rsidRPr="00422A8D">
              <w:rPr>
                <w:rFonts w:ascii="Arial" w:hAnsi="Arial" w:cs="Arial"/>
                <w:sz w:val="20"/>
                <w:szCs w:val="20"/>
              </w:rPr>
              <w:t>- Desktop and Native Mobile apps with a single development cycle</w:t>
            </w:r>
          </w:p>
          <w:p w:rsidR="00B2615D" w:rsidRPr="00422A8D" w:rsidRDefault="00B2615D" w:rsidP="00E824B9">
            <w:pPr>
              <w:shd w:val="clear" w:color="auto" w:fill="FFFFFF"/>
              <w:rPr>
                <w:rFonts w:ascii="Arial" w:hAnsi="Arial" w:cs="Arial"/>
                <w:sz w:val="20"/>
                <w:szCs w:val="20"/>
              </w:rPr>
            </w:pPr>
            <w:r w:rsidRPr="00422A8D">
              <w:rPr>
                <w:rFonts w:ascii="Arial" w:hAnsi="Arial" w:cs="Arial"/>
                <w:sz w:val="20"/>
                <w:szCs w:val="20"/>
              </w:rPr>
              <w:t>- Smart interfaces driven by User Interactions and Business-managed Decision Tables</w:t>
            </w:r>
          </w:p>
        </w:tc>
      </w:tr>
      <w:tr w:rsidR="00984C36" w:rsidRPr="00422A8D" w:rsidTr="00AC2134">
        <w:tc>
          <w:tcPr>
            <w:tcW w:w="3528" w:type="dxa"/>
            <w:vAlign w:val="center"/>
          </w:tcPr>
          <w:p w:rsidR="008128EC" w:rsidRPr="00422A8D" w:rsidRDefault="008128EC" w:rsidP="00422A8D">
            <w:pPr>
              <w:rPr>
                <w:rFonts w:ascii="Arial" w:hAnsi="Arial" w:cs="Arial"/>
                <w:sz w:val="20"/>
                <w:szCs w:val="20"/>
              </w:rPr>
            </w:pPr>
            <w:r w:rsidRPr="00422A8D">
              <w:rPr>
                <w:rFonts w:ascii="Arial" w:hAnsi="Arial" w:cs="Arial"/>
                <w:sz w:val="20"/>
                <w:szCs w:val="20"/>
              </w:rPr>
              <w:lastRenderedPageBreak/>
              <w:t>Bright Hive</w:t>
            </w:r>
          </w:p>
        </w:tc>
        <w:tc>
          <w:tcPr>
            <w:tcW w:w="2856" w:type="dxa"/>
            <w:vAlign w:val="center"/>
          </w:tcPr>
          <w:p w:rsidR="008128EC" w:rsidRPr="00422A8D" w:rsidRDefault="00F03940" w:rsidP="00422A8D">
            <w:pPr>
              <w:rPr>
                <w:rFonts w:ascii="Arial" w:hAnsi="Arial" w:cs="Arial"/>
                <w:sz w:val="20"/>
                <w:szCs w:val="20"/>
              </w:rPr>
            </w:pPr>
            <w:r w:rsidRPr="00422A8D">
              <w:rPr>
                <w:rFonts w:ascii="Arial" w:hAnsi="Arial" w:cs="Arial"/>
                <w:sz w:val="20"/>
                <w:szCs w:val="20"/>
              </w:rPr>
              <w:t>Chicago, IL</w:t>
            </w:r>
          </w:p>
        </w:tc>
        <w:tc>
          <w:tcPr>
            <w:tcW w:w="8124" w:type="dxa"/>
          </w:tcPr>
          <w:p w:rsidR="008128EC" w:rsidRPr="00422A8D" w:rsidRDefault="008128EC" w:rsidP="00422A8D">
            <w:pPr>
              <w:rPr>
                <w:rFonts w:ascii="Arial" w:hAnsi="Arial" w:cs="Arial"/>
                <w:sz w:val="20"/>
                <w:szCs w:val="20"/>
              </w:rPr>
            </w:pPr>
            <w:proofErr w:type="spellStart"/>
            <w:r w:rsidRPr="00422A8D">
              <w:rPr>
                <w:rFonts w:ascii="Arial" w:hAnsi="Arial" w:cs="Arial"/>
                <w:sz w:val="20"/>
                <w:szCs w:val="20"/>
              </w:rPr>
              <w:t>BrightHive</w:t>
            </w:r>
            <w:proofErr w:type="spellEnd"/>
            <w:r w:rsidRPr="00422A8D">
              <w:rPr>
                <w:rFonts w:ascii="Arial" w:hAnsi="Arial" w:cs="Arial"/>
                <w:sz w:val="20"/>
                <w:szCs w:val="20"/>
              </w:rPr>
              <w:t xml:space="preserve"> provides standard, modular, open source, cloud-hosted services for multi-party data integration. Our Training Provider Outcomes Toolkit (TPOT) securely connects data from training providers with employment and wage databases—without the data ever leaving the Colorado Department of Higher Education. After this data is scrubbed and </w:t>
            </w:r>
            <w:proofErr w:type="spellStart"/>
            <w:r w:rsidRPr="00422A8D">
              <w:rPr>
                <w:rFonts w:ascii="Arial" w:hAnsi="Arial" w:cs="Arial"/>
                <w:sz w:val="20"/>
                <w:szCs w:val="20"/>
              </w:rPr>
              <w:t>anonymized</w:t>
            </w:r>
            <w:proofErr w:type="spellEnd"/>
            <w:r w:rsidRPr="00422A8D">
              <w:rPr>
                <w:rFonts w:ascii="Arial" w:hAnsi="Arial" w:cs="Arial"/>
                <w:sz w:val="20"/>
                <w:szCs w:val="20"/>
              </w:rPr>
              <w:t>, the output is made available through an application programming interface (API) in aggregate form. TPOT is currently being deployed and tested in collaboration with Skillful, the Colorado Department of Higher Education, the Colorado Workforce Development Council, and the Colorado Department of Labor &amp; Employment.</w:t>
            </w:r>
          </w:p>
          <w:p w:rsidR="008128EC" w:rsidRPr="00422A8D" w:rsidRDefault="008128EC" w:rsidP="00422A8D">
            <w:pPr>
              <w:rPr>
                <w:rFonts w:ascii="Arial" w:hAnsi="Arial" w:cs="Arial"/>
                <w:sz w:val="20"/>
                <w:szCs w:val="20"/>
              </w:rPr>
            </w:pPr>
          </w:p>
        </w:tc>
      </w:tr>
      <w:tr w:rsidR="00984C36" w:rsidRPr="00422A8D" w:rsidTr="00AC2134">
        <w:tc>
          <w:tcPr>
            <w:tcW w:w="3528" w:type="dxa"/>
            <w:vAlign w:val="center"/>
          </w:tcPr>
          <w:p w:rsidR="00927DDF" w:rsidRPr="00422A8D" w:rsidRDefault="00984C36" w:rsidP="00422A8D">
            <w:pPr>
              <w:rPr>
                <w:rFonts w:ascii="Arial" w:hAnsi="Arial" w:cs="Arial"/>
                <w:sz w:val="20"/>
                <w:szCs w:val="20"/>
              </w:rPr>
            </w:pPr>
            <w:r>
              <w:br w:type="page"/>
            </w:r>
            <w:proofErr w:type="spellStart"/>
            <w:r w:rsidR="00927DDF" w:rsidRPr="00422A8D">
              <w:rPr>
                <w:rFonts w:ascii="Arial" w:hAnsi="Arial" w:cs="Arial"/>
                <w:sz w:val="20"/>
                <w:szCs w:val="20"/>
              </w:rPr>
              <w:t>Couragion</w:t>
            </w:r>
            <w:proofErr w:type="spellEnd"/>
            <w:r w:rsidR="00927DDF" w:rsidRPr="00422A8D">
              <w:rPr>
                <w:rFonts w:ascii="Arial" w:hAnsi="Arial" w:cs="Arial"/>
                <w:sz w:val="20"/>
                <w:szCs w:val="20"/>
              </w:rPr>
              <w:t xml:space="preserve"> Corporation</w:t>
            </w:r>
            <w:r w:rsidR="00867CAF">
              <w:rPr>
                <w:rFonts w:ascii="Arial" w:hAnsi="Arial" w:cs="Arial"/>
                <w:sz w:val="20"/>
                <w:szCs w:val="20"/>
              </w:rPr>
              <w:t xml:space="preserve"> with </w:t>
            </w:r>
            <w:proofErr w:type="spellStart"/>
            <w:r w:rsidR="00867CAF">
              <w:rPr>
                <w:rFonts w:ascii="Arial" w:hAnsi="Arial" w:cs="Arial"/>
                <w:sz w:val="20"/>
                <w:szCs w:val="20"/>
              </w:rPr>
              <w:t>Techtonic</w:t>
            </w:r>
            <w:proofErr w:type="spellEnd"/>
            <w:r w:rsidR="00867CAF">
              <w:rPr>
                <w:rFonts w:ascii="Arial" w:hAnsi="Arial" w:cs="Arial"/>
                <w:sz w:val="20"/>
                <w:szCs w:val="20"/>
              </w:rPr>
              <w:t xml:space="preserve"> Group</w:t>
            </w:r>
          </w:p>
        </w:tc>
        <w:tc>
          <w:tcPr>
            <w:tcW w:w="2856" w:type="dxa"/>
            <w:vAlign w:val="center"/>
          </w:tcPr>
          <w:p w:rsidR="00927DDF" w:rsidRPr="00422A8D" w:rsidRDefault="00927DDF" w:rsidP="00422A8D">
            <w:pPr>
              <w:rPr>
                <w:rFonts w:ascii="Arial" w:hAnsi="Arial" w:cs="Arial"/>
                <w:sz w:val="20"/>
                <w:szCs w:val="20"/>
              </w:rPr>
            </w:pPr>
            <w:r w:rsidRPr="00422A8D">
              <w:rPr>
                <w:rFonts w:ascii="Arial" w:hAnsi="Arial" w:cs="Arial"/>
                <w:sz w:val="20"/>
                <w:szCs w:val="20"/>
              </w:rPr>
              <w:t>Colorado</w:t>
            </w:r>
          </w:p>
        </w:tc>
        <w:tc>
          <w:tcPr>
            <w:tcW w:w="8124" w:type="dxa"/>
          </w:tcPr>
          <w:p w:rsidR="00927DDF" w:rsidRPr="00422A8D" w:rsidRDefault="00927DDF" w:rsidP="00422A8D">
            <w:pPr>
              <w:pStyle w:val="NormalWeb"/>
              <w:rPr>
                <w:rFonts w:ascii="Arial" w:hAnsi="Arial" w:cs="Arial"/>
                <w:sz w:val="20"/>
                <w:szCs w:val="20"/>
              </w:rPr>
            </w:pPr>
            <w:proofErr w:type="spellStart"/>
            <w:r w:rsidRPr="00422A8D">
              <w:rPr>
                <w:rFonts w:ascii="Arial" w:hAnsi="Arial" w:cs="Arial"/>
                <w:sz w:val="20"/>
                <w:szCs w:val="20"/>
              </w:rPr>
              <w:t>Couragion</w:t>
            </w:r>
            <w:proofErr w:type="spellEnd"/>
            <w:r w:rsidRPr="00422A8D">
              <w:rPr>
                <w:rFonts w:ascii="Arial" w:hAnsi="Arial" w:cs="Arial"/>
                <w:sz w:val="20"/>
                <w:szCs w:val="20"/>
              </w:rPr>
              <w:t xml:space="preserve"> provides a career literacy and workforce development solution for educators, students and advocates. The product portfolio provides assessments, career and academic </w:t>
            </w:r>
            <w:proofErr w:type="gramStart"/>
            <w:r w:rsidRPr="00422A8D">
              <w:rPr>
                <w:rFonts w:ascii="Arial" w:hAnsi="Arial" w:cs="Arial"/>
                <w:sz w:val="20"/>
                <w:szCs w:val="20"/>
              </w:rPr>
              <w:t>planning,</w:t>
            </w:r>
            <w:proofErr w:type="gramEnd"/>
            <w:r w:rsidRPr="00422A8D">
              <w:rPr>
                <w:rFonts w:ascii="Arial" w:hAnsi="Arial" w:cs="Arial"/>
                <w:sz w:val="20"/>
                <w:szCs w:val="20"/>
              </w:rPr>
              <w:t xml:space="preserve"> ICAP-compliant personalized learning plans, portable student portfolios, an educator companion application complete with professional learning, and workforce analytics and data reporting.</w:t>
            </w:r>
          </w:p>
          <w:p w:rsidR="00927DDF" w:rsidRPr="00422A8D" w:rsidRDefault="00927DDF" w:rsidP="00422A8D">
            <w:pPr>
              <w:pStyle w:val="NormalWeb"/>
              <w:rPr>
                <w:rFonts w:ascii="Arial" w:hAnsi="Arial" w:cs="Arial"/>
                <w:sz w:val="20"/>
                <w:szCs w:val="20"/>
              </w:rPr>
            </w:pPr>
            <w:r w:rsidRPr="00422A8D">
              <w:rPr>
                <w:rFonts w:ascii="Arial" w:hAnsi="Arial" w:cs="Arial"/>
                <w:sz w:val="20"/>
                <w:szCs w:val="20"/>
              </w:rPr>
              <w:t> </w:t>
            </w:r>
          </w:p>
          <w:p w:rsidR="00927DDF" w:rsidRDefault="00927DDF" w:rsidP="00422A8D">
            <w:pPr>
              <w:pStyle w:val="NormalWeb"/>
              <w:rPr>
                <w:rFonts w:ascii="Arial" w:hAnsi="Arial" w:cs="Arial"/>
                <w:sz w:val="20"/>
                <w:szCs w:val="20"/>
              </w:rPr>
            </w:pPr>
            <w:proofErr w:type="spellStart"/>
            <w:r w:rsidRPr="00422A8D">
              <w:rPr>
                <w:rFonts w:ascii="Arial" w:hAnsi="Arial" w:cs="Arial"/>
                <w:sz w:val="20"/>
                <w:szCs w:val="20"/>
              </w:rPr>
              <w:t>Couragion</w:t>
            </w:r>
            <w:proofErr w:type="spellEnd"/>
            <w:r w:rsidRPr="00422A8D">
              <w:rPr>
                <w:rFonts w:ascii="Arial" w:hAnsi="Arial" w:cs="Arial"/>
                <w:sz w:val="20"/>
                <w:szCs w:val="20"/>
              </w:rPr>
              <w:t xml:space="preserve"> is a Colorado-based, women-owned, educational technology social enterprise that is generously supported by the National Science Foundation (NSF), AT&amp;T Aspire, and the Colorado Office of Economic Development and International Trade.  </w:t>
            </w:r>
            <w:proofErr w:type="spellStart"/>
            <w:r w:rsidRPr="00422A8D">
              <w:rPr>
                <w:rFonts w:ascii="Arial" w:hAnsi="Arial" w:cs="Arial"/>
                <w:sz w:val="20"/>
                <w:szCs w:val="20"/>
              </w:rPr>
              <w:t>Couragion's</w:t>
            </w:r>
            <w:proofErr w:type="spellEnd"/>
            <w:r w:rsidRPr="00422A8D">
              <w:rPr>
                <w:rFonts w:ascii="Arial" w:hAnsi="Arial" w:cs="Arial"/>
                <w:sz w:val="20"/>
                <w:szCs w:val="20"/>
              </w:rPr>
              <w:t xml:space="preserve"> flagship partners include </w:t>
            </w:r>
            <w:proofErr w:type="spellStart"/>
            <w:r w:rsidRPr="00422A8D">
              <w:rPr>
                <w:rFonts w:ascii="Arial" w:hAnsi="Arial" w:cs="Arial"/>
                <w:sz w:val="20"/>
                <w:szCs w:val="20"/>
              </w:rPr>
              <w:t>CareerWise</w:t>
            </w:r>
            <w:proofErr w:type="spellEnd"/>
            <w:r w:rsidRPr="00422A8D">
              <w:rPr>
                <w:rFonts w:ascii="Arial" w:hAnsi="Arial" w:cs="Arial"/>
                <w:sz w:val="20"/>
                <w:szCs w:val="20"/>
              </w:rPr>
              <w:t xml:space="preserve"> Colorado and </w:t>
            </w:r>
            <w:proofErr w:type="spellStart"/>
            <w:r w:rsidRPr="00422A8D">
              <w:rPr>
                <w:rFonts w:ascii="Arial" w:hAnsi="Arial" w:cs="Arial"/>
                <w:sz w:val="20"/>
                <w:szCs w:val="20"/>
              </w:rPr>
              <w:t>mindSpark</w:t>
            </w:r>
            <w:proofErr w:type="spellEnd"/>
            <w:r w:rsidRPr="00422A8D">
              <w:rPr>
                <w:rFonts w:ascii="Arial" w:hAnsi="Arial" w:cs="Arial"/>
                <w:sz w:val="20"/>
                <w:szCs w:val="20"/>
              </w:rPr>
              <w:t xml:space="preserve"> Learning in supporting Denver Public Schools and </w:t>
            </w:r>
            <w:proofErr w:type="spellStart"/>
            <w:r w:rsidRPr="00422A8D">
              <w:rPr>
                <w:rFonts w:ascii="Arial" w:hAnsi="Arial" w:cs="Arial"/>
                <w:sz w:val="20"/>
                <w:szCs w:val="20"/>
              </w:rPr>
              <w:t>Jeffco</w:t>
            </w:r>
            <w:proofErr w:type="spellEnd"/>
            <w:r w:rsidRPr="00422A8D">
              <w:rPr>
                <w:rFonts w:ascii="Arial" w:hAnsi="Arial" w:cs="Arial"/>
                <w:sz w:val="20"/>
                <w:szCs w:val="20"/>
              </w:rPr>
              <w:t xml:space="preserve"> Public Schools among many other educators and students across the state of Colorado.</w:t>
            </w:r>
          </w:p>
          <w:p w:rsidR="00867CAF" w:rsidRDefault="00867CAF" w:rsidP="00867CAF">
            <w:pPr>
              <w:rPr>
                <w:rFonts w:ascii="Arial" w:hAnsi="Arial" w:cs="Arial"/>
                <w:sz w:val="20"/>
                <w:szCs w:val="20"/>
              </w:rPr>
            </w:pPr>
          </w:p>
          <w:p w:rsidR="00867CAF" w:rsidRDefault="00867CAF" w:rsidP="00867CAF">
            <w:pPr>
              <w:rPr>
                <w:rFonts w:ascii="Arial" w:hAnsi="Arial" w:cs="Arial"/>
                <w:sz w:val="20"/>
                <w:szCs w:val="20"/>
              </w:rPr>
            </w:pPr>
            <w:r w:rsidRPr="00422A8D">
              <w:rPr>
                <w:rFonts w:ascii="Arial" w:hAnsi="Arial" w:cs="Arial"/>
                <w:sz w:val="20"/>
                <w:szCs w:val="20"/>
              </w:rPr>
              <w:t xml:space="preserve">The Boulder-born </w:t>
            </w:r>
            <w:proofErr w:type="spellStart"/>
            <w:r w:rsidRPr="00422A8D">
              <w:rPr>
                <w:rFonts w:ascii="Arial" w:hAnsi="Arial" w:cs="Arial"/>
                <w:sz w:val="20"/>
                <w:szCs w:val="20"/>
              </w:rPr>
              <w:t>Techtonic</w:t>
            </w:r>
            <w:proofErr w:type="spellEnd"/>
            <w:r w:rsidRPr="00422A8D">
              <w:rPr>
                <w:rFonts w:ascii="Arial" w:hAnsi="Arial" w:cs="Arial"/>
                <w:sz w:val="20"/>
                <w:szCs w:val="20"/>
              </w:rPr>
              <w:t xml:space="preserve"> Group has been delivering custom commercial grade software for 17 years. From Fortune 100 to start-up enterprises our software experts have helped leading firms across a broad range of industries. </w:t>
            </w:r>
          </w:p>
          <w:p w:rsidR="00867CAF" w:rsidRDefault="00867CAF" w:rsidP="00867CAF">
            <w:pPr>
              <w:rPr>
                <w:rFonts w:ascii="Arial" w:hAnsi="Arial" w:cs="Arial"/>
                <w:sz w:val="20"/>
                <w:szCs w:val="20"/>
              </w:rPr>
            </w:pPr>
          </w:p>
          <w:p w:rsidR="00867CAF" w:rsidRPr="00422A8D" w:rsidRDefault="00867CAF" w:rsidP="00867CAF">
            <w:pPr>
              <w:pStyle w:val="NormalWeb"/>
              <w:rPr>
                <w:rFonts w:ascii="Arial" w:hAnsi="Arial" w:cs="Arial"/>
                <w:sz w:val="20"/>
                <w:szCs w:val="20"/>
              </w:rPr>
            </w:pPr>
            <w:r w:rsidRPr="00422A8D">
              <w:rPr>
                <w:rFonts w:ascii="Arial" w:hAnsi="Arial" w:cs="Arial"/>
                <w:sz w:val="20"/>
                <w:szCs w:val="20"/>
              </w:rPr>
              <w:t xml:space="preserve">The </w:t>
            </w:r>
            <w:proofErr w:type="spellStart"/>
            <w:r w:rsidRPr="00422A8D">
              <w:rPr>
                <w:rFonts w:ascii="Arial" w:hAnsi="Arial" w:cs="Arial"/>
                <w:sz w:val="20"/>
                <w:szCs w:val="20"/>
              </w:rPr>
              <w:t>Techtonic</w:t>
            </w:r>
            <w:proofErr w:type="spellEnd"/>
            <w:r w:rsidRPr="00422A8D">
              <w:rPr>
                <w:rFonts w:ascii="Arial" w:hAnsi="Arial" w:cs="Arial"/>
                <w:sz w:val="20"/>
                <w:szCs w:val="20"/>
              </w:rPr>
              <w:t xml:space="preserve"> Group also created an IT apprenticeship program to provide an on-ramp for technology careers to underserved populations. This is the first and only IT Apprenticeship Program in the State of Colorado approved and registered by the U.S. Department of Labor.  In addition to building quality software, our mission is to add talent to a starved marketplace through Apprenticeship while simultaneously helping to solve diversity and inclusion in the IT workforce.</w:t>
            </w:r>
          </w:p>
          <w:p w:rsidR="00927DDF" w:rsidRPr="00422A8D" w:rsidRDefault="00927DDF" w:rsidP="00422A8D">
            <w:pPr>
              <w:rPr>
                <w:rFonts w:ascii="Arial" w:hAnsi="Arial" w:cs="Arial"/>
                <w:sz w:val="20"/>
                <w:szCs w:val="20"/>
              </w:rPr>
            </w:pPr>
          </w:p>
        </w:tc>
      </w:tr>
    </w:tbl>
    <w:p w:rsidR="00867CAF" w:rsidRDefault="00867CAF">
      <w:r>
        <w:br w:type="page"/>
      </w:r>
    </w:p>
    <w:tbl>
      <w:tblPr>
        <w:tblStyle w:val="TableGrid"/>
        <w:tblW w:w="14508" w:type="dxa"/>
        <w:tblLook w:val="04A0" w:firstRow="1" w:lastRow="0" w:firstColumn="1" w:lastColumn="0" w:noHBand="0" w:noVBand="1"/>
      </w:tblPr>
      <w:tblGrid>
        <w:gridCol w:w="3528"/>
        <w:gridCol w:w="2856"/>
        <w:gridCol w:w="8124"/>
      </w:tblGrid>
      <w:tr w:rsidR="00984C36" w:rsidRPr="00422A8D" w:rsidTr="00AC2134">
        <w:tc>
          <w:tcPr>
            <w:tcW w:w="3528" w:type="dxa"/>
            <w:vAlign w:val="center"/>
          </w:tcPr>
          <w:p w:rsidR="00927DDF" w:rsidRPr="00422A8D" w:rsidRDefault="000D3837" w:rsidP="00422A8D">
            <w:pPr>
              <w:rPr>
                <w:rFonts w:ascii="Arial" w:hAnsi="Arial" w:cs="Arial"/>
                <w:sz w:val="20"/>
                <w:szCs w:val="20"/>
              </w:rPr>
            </w:pPr>
            <w:proofErr w:type="spellStart"/>
            <w:r w:rsidRPr="00422A8D">
              <w:rPr>
                <w:rFonts w:ascii="Arial" w:hAnsi="Arial" w:cs="Arial"/>
                <w:sz w:val="20"/>
                <w:szCs w:val="20"/>
              </w:rPr>
              <w:t>MajorClarity</w:t>
            </w:r>
            <w:proofErr w:type="spellEnd"/>
          </w:p>
        </w:tc>
        <w:tc>
          <w:tcPr>
            <w:tcW w:w="2856" w:type="dxa"/>
            <w:vAlign w:val="center"/>
          </w:tcPr>
          <w:p w:rsidR="00927DDF" w:rsidRPr="00422A8D" w:rsidRDefault="00F03940" w:rsidP="00422A8D">
            <w:pPr>
              <w:rPr>
                <w:rFonts w:ascii="Arial" w:hAnsi="Arial" w:cs="Arial"/>
                <w:sz w:val="20"/>
                <w:szCs w:val="20"/>
              </w:rPr>
            </w:pPr>
            <w:r w:rsidRPr="00422A8D">
              <w:rPr>
                <w:rFonts w:ascii="Arial" w:hAnsi="Arial" w:cs="Arial"/>
                <w:sz w:val="20"/>
                <w:szCs w:val="20"/>
              </w:rPr>
              <w:t>Virginia</w:t>
            </w:r>
          </w:p>
        </w:tc>
        <w:tc>
          <w:tcPr>
            <w:tcW w:w="8124" w:type="dxa"/>
          </w:tcPr>
          <w:p w:rsidR="00422A8D" w:rsidRDefault="000D3837" w:rsidP="00422A8D">
            <w:pPr>
              <w:rPr>
                <w:rFonts w:ascii="Arial" w:hAnsi="Arial" w:cs="Arial"/>
                <w:sz w:val="20"/>
                <w:szCs w:val="20"/>
                <w:shd w:val="clear" w:color="auto" w:fill="FFFFFF"/>
              </w:rPr>
            </w:pPr>
            <w:proofErr w:type="spellStart"/>
            <w:r w:rsidRPr="00422A8D">
              <w:rPr>
                <w:rFonts w:ascii="Arial" w:hAnsi="Arial" w:cs="Arial"/>
                <w:sz w:val="20"/>
                <w:szCs w:val="20"/>
              </w:rPr>
              <w:t>MajorClarity</w:t>
            </w:r>
            <w:proofErr w:type="spellEnd"/>
            <w:r w:rsidRPr="00422A8D">
              <w:rPr>
                <w:rFonts w:ascii="Arial" w:hAnsi="Arial" w:cs="Arial"/>
                <w:sz w:val="20"/>
                <w:szCs w:val="20"/>
              </w:rPr>
              <w:t xml:space="preserve"> offers a truly innovative career technology platform that unites multiple educational stakeholders - counselors, educators, students, parents, administrators and employers, etc. - with ease in a streamlined, engaging, and forward-thinking way. </w:t>
            </w:r>
            <w:r w:rsidRPr="00422A8D">
              <w:rPr>
                <w:rFonts w:ascii="Arial" w:hAnsi="Arial" w:cs="Arial"/>
                <w:sz w:val="20"/>
                <w:szCs w:val="20"/>
                <w:shd w:val="clear" w:color="auto" w:fill="FFFFFF"/>
              </w:rPr>
              <w:t xml:space="preserve">Our platform exemplifies this by offering assessments that are concise and user-friendly and allowing students to spend the majority of their time actively exploring site content. </w:t>
            </w:r>
          </w:p>
          <w:p w:rsidR="00422A8D" w:rsidRDefault="00422A8D" w:rsidP="00422A8D">
            <w:pPr>
              <w:rPr>
                <w:rFonts w:ascii="Arial" w:hAnsi="Arial" w:cs="Arial"/>
                <w:sz w:val="20"/>
                <w:szCs w:val="20"/>
                <w:shd w:val="clear" w:color="auto" w:fill="FFFFFF"/>
              </w:rPr>
            </w:pPr>
          </w:p>
          <w:p w:rsidR="000D3837" w:rsidRPr="00422A8D" w:rsidRDefault="000D3837" w:rsidP="00422A8D">
            <w:pPr>
              <w:rPr>
                <w:rFonts w:ascii="Arial" w:hAnsi="Arial" w:cs="Arial"/>
                <w:sz w:val="20"/>
                <w:szCs w:val="20"/>
              </w:rPr>
            </w:pPr>
            <w:proofErr w:type="spellStart"/>
            <w:r w:rsidRPr="00422A8D">
              <w:rPr>
                <w:rFonts w:ascii="Arial" w:hAnsi="Arial" w:cs="Arial"/>
                <w:sz w:val="20"/>
                <w:szCs w:val="20"/>
                <w:shd w:val="clear" w:color="auto" w:fill="FFFFFF"/>
              </w:rPr>
              <w:t>MajorClarity</w:t>
            </w:r>
            <w:proofErr w:type="spellEnd"/>
            <w:r w:rsidRPr="00422A8D">
              <w:rPr>
                <w:rFonts w:ascii="Arial" w:hAnsi="Arial" w:cs="Arial"/>
                <w:sz w:val="20"/>
                <w:szCs w:val="20"/>
                <w:shd w:val="clear" w:color="auto" w:fill="FFFFFF"/>
              </w:rPr>
              <w:t xml:space="preserve"> also provides tools that automatically create, store, track, and send Student Success Plans, as well as tools that help monitor student progress, promote communication to students/parents, provide cohort analytics, aid counselors with the college application process, and survey student interests. </w:t>
            </w:r>
          </w:p>
          <w:p w:rsidR="00927DDF" w:rsidRPr="00422A8D" w:rsidRDefault="00927DDF" w:rsidP="00422A8D">
            <w:pPr>
              <w:pStyle w:val="NormalWeb"/>
              <w:rPr>
                <w:rFonts w:ascii="Arial" w:hAnsi="Arial" w:cs="Arial"/>
                <w:sz w:val="20"/>
                <w:szCs w:val="20"/>
              </w:rPr>
            </w:pPr>
          </w:p>
        </w:tc>
      </w:tr>
      <w:tr w:rsidR="00C30E35" w:rsidRPr="00422A8D" w:rsidTr="00AC2134">
        <w:tc>
          <w:tcPr>
            <w:tcW w:w="3528" w:type="dxa"/>
            <w:vAlign w:val="center"/>
          </w:tcPr>
          <w:p w:rsidR="00C30E35" w:rsidRPr="00422A8D" w:rsidRDefault="00C30E35" w:rsidP="00422A8D">
            <w:pPr>
              <w:rPr>
                <w:rFonts w:ascii="Arial" w:hAnsi="Arial" w:cs="Arial"/>
                <w:sz w:val="20"/>
                <w:szCs w:val="20"/>
              </w:rPr>
            </w:pPr>
            <w:r>
              <w:rPr>
                <w:rFonts w:ascii="Arial" w:hAnsi="Arial" w:cs="Arial"/>
                <w:sz w:val="20"/>
                <w:szCs w:val="20"/>
              </w:rPr>
              <w:t>National Strategic Planning and Analysis Research Center (</w:t>
            </w:r>
            <w:proofErr w:type="spellStart"/>
            <w:r>
              <w:rPr>
                <w:rFonts w:ascii="Arial" w:hAnsi="Arial" w:cs="Arial"/>
                <w:sz w:val="20"/>
                <w:szCs w:val="20"/>
              </w:rPr>
              <w:t>nSPARC</w:t>
            </w:r>
            <w:proofErr w:type="spellEnd"/>
            <w:r>
              <w:rPr>
                <w:rFonts w:ascii="Arial" w:hAnsi="Arial" w:cs="Arial"/>
                <w:sz w:val="20"/>
                <w:szCs w:val="20"/>
              </w:rPr>
              <w:t>) at Mississippi State University</w:t>
            </w:r>
          </w:p>
        </w:tc>
        <w:tc>
          <w:tcPr>
            <w:tcW w:w="2856" w:type="dxa"/>
            <w:vAlign w:val="center"/>
          </w:tcPr>
          <w:p w:rsidR="00C30E35" w:rsidRPr="00422A8D" w:rsidRDefault="00C30E35" w:rsidP="00422A8D">
            <w:pPr>
              <w:rPr>
                <w:rFonts w:ascii="Arial" w:hAnsi="Arial" w:cs="Arial"/>
                <w:sz w:val="20"/>
                <w:szCs w:val="20"/>
              </w:rPr>
            </w:pPr>
            <w:r>
              <w:rPr>
                <w:rFonts w:ascii="Arial" w:hAnsi="Arial" w:cs="Arial"/>
                <w:sz w:val="20"/>
                <w:szCs w:val="20"/>
              </w:rPr>
              <w:t>Starkville, MS</w:t>
            </w:r>
          </w:p>
        </w:tc>
        <w:tc>
          <w:tcPr>
            <w:tcW w:w="8124" w:type="dxa"/>
          </w:tcPr>
          <w:p w:rsidR="00C30E35" w:rsidRDefault="00B168E6" w:rsidP="00422A8D">
            <w:pPr>
              <w:shd w:val="clear" w:color="auto" w:fill="FFFFFF"/>
              <w:rPr>
                <w:rFonts w:ascii="Arial" w:hAnsi="Arial" w:cs="Arial"/>
                <w:color w:val="1E1E21"/>
                <w:sz w:val="20"/>
                <w:szCs w:val="20"/>
              </w:rPr>
            </w:pPr>
            <w:r w:rsidRPr="00B168E6">
              <w:rPr>
                <w:rFonts w:ascii="Arial" w:hAnsi="Arial" w:cs="Arial"/>
                <w:color w:val="1E1E21"/>
                <w:sz w:val="20"/>
                <w:szCs w:val="20"/>
              </w:rPr>
              <w:t>Founded in 1998, NSPARC is a university research center with more than 100 diverse employees, ranging from data scientists to software architects and security experts. We pursue entrepreneurial and collaborative initiatives to develop and maintain a pipeline of intellectual property and innovative technologies that positively impact real-world problems.</w:t>
            </w:r>
          </w:p>
          <w:p w:rsidR="00B168E6" w:rsidRPr="00B168E6" w:rsidRDefault="00B168E6" w:rsidP="00422A8D">
            <w:pPr>
              <w:shd w:val="clear" w:color="auto" w:fill="FFFFFF"/>
              <w:rPr>
                <w:rFonts w:ascii="Arial" w:eastAsia="Times New Roman" w:hAnsi="Arial" w:cs="Arial"/>
                <w:sz w:val="20"/>
                <w:szCs w:val="20"/>
              </w:rPr>
            </w:pPr>
          </w:p>
        </w:tc>
      </w:tr>
      <w:tr w:rsidR="00984C36" w:rsidRPr="00422A8D" w:rsidTr="00AC2134">
        <w:tc>
          <w:tcPr>
            <w:tcW w:w="3528" w:type="dxa"/>
            <w:vAlign w:val="center"/>
          </w:tcPr>
          <w:p w:rsidR="000D3837" w:rsidRPr="00422A8D" w:rsidRDefault="000D3837" w:rsidP="00422A8D">
            <w:pPr>
              <w:rPr>
                <w:rFonts w:ascii="Arial" w:hAnsi="Arial" w:cs="Arial"/>
                <w:sz w:val="20"/>
                <w:szCs w:val="20"/>
              </w:rPr>
            </w:pPr>
            <w:proofErr w:type="spellStart"/>
            <w:r w:rsidRPr="00422A8D">
              <w:rPr>
                <w:rFonts w:ascii="Arial" w:hAnsi="Arial" w:cs="Arial"/>
                <w:sz w:val="20"/>
                <w:szCs w:val="20"/>
              </w:rPr>
              <w:t>NextTier</w:t>
            </w:r>
            <w:proofErr w:type="spellEnd"/>
            <w:r w:rsidRPr="00422A8D">
              <w:rPr>
                <w:rFonts w:ascii="Arial" w:hAnsi="Arial" w:cs="Arial"/>
                <w:sz w:val="20"/>
                <w:szCs w:val="20"/>
              </w:rPr>
              <w:t xml:space="preserve"> Education</w:t>
            </w:r>
          </w:p>
        </w:tc>
        <w:tc>
          <w:tcPr>
            <w:tcW w:w="2856" w:type="dxa"/>
            <w:vAlign w:val="center"/>
          </w:tcPr>
          <w:p w:rsidR="000D3837" w:rsidRPr="00422A8D" w:rsidRDefault="00F03940" w:rsidP="00422A8D">
            <w:pPr>
              <w:rPr>
                <w:rFonts w:ascii="Arial" w:hAnsi="Arial" w:cs="Arial"/>
                <w:sz w:val="20"/>
                <w:szCs w:val="20"/>
              </w:rPr>
            </w:pPr>
            <w:r w:rsidRPr="00422A8D">
              <w:rPr>
                <w:rFonts w:ascii="Arial" w:hAnsi="Arial" w:cs="Arial"/>
                <w:sz w:val="20"/>
                <w:szCs w:val="20"/>
              </w:rPr>
              <w:t>Chicago, IL</w:t>
            </w:r>
          </w:p>
        </w:tc>
        <w:tc>
          <w:tcPr>
            <w:tcW w:w="8124" w:type="dxa"/>
          </w:tcPr>
          <w:p w:rsidR="00F03940" w:rsidRPr="00422A8D" w:rsidRDefault="00F03940" w:rsidP="00422A8D">
            <w:pPr>
              <w:shd w:val="clear" w:color="auto" w:fill="FFFFFF"/>
              <w:rPr>
                <w:rFonts w:ascii="Arial" w:eastAsia="Times New Roman" w:hAnsi="Arial" w:cs="Arial"/>
                <w:sz w:val="20"/>
                <w:szCs w:val="20"/>
              </w:rPr>
            </w:pPr>
            <w:r w:rsidRPr="00422A8D">
              <w:rPr>
                <w:rFonts w:ascii="Arial" w:eastAsia="Times New Roman" w:hAnsi="Arial" w:cs="Arial"/>
                <w:sz w:val="20"/>
                <w:szCs w:val="20"/>
              </w:rPr>
              <w:t>Next Tier Education, Inc. (“</w:t>
            </w:r>
            <w:proofErr w:type="spellStart"/>
            <w:r w:rsidRPr="00422A8D">
              <w:rPr>
                <w:rFonts w:ascii="Arial" w:eastAsia="Times New Roman" w:hAnsi="Arial" w:cs="Arial"/>
                <w:sz w:val="20"/>
                <w:szCs w:val="20"/>
              </w:rPr>
              <w:t>NextTier</w:t>
            </w:r>
            <w:proofErr w:type="spellEnd"/>
            <w:r w:rsidRPr="00422A8D">
              <w:rPr>
                <w:rFonts w:ascii="Arial" w:eastAsia="Times New Roman" w:hAnsi="Arial" w:cs="Arial"/>
                <w:sz w:val="20"/>
                <w:szCs w:val="20"/>
              </w:rPr>
              <w:t xml:space="preserve">”) is the first postsecondary readiness solution with user engagement as a top priority, so students can easily find the right-fit schools, navigate the process to plan and apply to schools, and identify ways to finance their investments. </w:t>
            </w:r>
          </w:p>
          <w:p w:rsidR="00F03940" w:rsidRPr="00422A8D" w:rsidRDefault="00F03940" w:rsidP="00422A8D">
            <w:pPr>
              <w:shd w:val="clear" w:color="auto" w:fill="FFFFFF"/>
              <w:rPr>
                <w:rFonts w:ascii="Arial" w:eastAsia="Times New Roman" w:hAnsi="Arial" w:cs="Arial"/>
                <w:sz w:val="20"/>
                <w:szCs w:val="20"/>
              </w:rPr>
            </w:pPr>
          </w:p>
          <w:p w:rsidR="00F03940" w:rsidRPr="00422A8D" w:rsidRDefault="00F03940" w:rsidP="00422A8D">
            <w:pPr>
              <w:shd w:val="clear" w:color="auto" w:fill="FFFFFF"/>
              <w:rPr>
                <w:rFonts w:ascii="Arial" w:eastAsia="Times New Roman" w:hAnsi="Arial" w:cs="Arial"/>
                <w:sz w:val="20"/>
                <w:szCs w:val="20"/>
              </w:rPr>
            </w:pPr>
            <w:r w:rsidRPr="00422A8D">
              <w:rPr>
                <w:rFonts w:ascii="Arial" w:eastAsia="Times New Roman" w:hAnsi="Arial" w:cs="Arial"/>
                <w:sz w:val="20"/>
                <w:szCs w:val="20"/>
              </w:rPr>
              <w:t xml:space="preserve">Using </w:t>
            </w:r>
            <w:proofErr w:type="spellStart"/>
            <w:r w:rsidRPr="00422A8D">
              <w:rPr>
                <w:rFonts w:ascii="Arial" w:eastAsia="Times New Roman" w:hAnsi="Arial" w:cs="Arial"/>
                <w:sz w:val="20"/>
                <w:szCs w:val="20"/>
              </w:rPr>
              <w:t>NextTier’s</w:t>
            </w:r>
            <w:proofErr w:type="spellEnd"/>
            <w:r w:rsidRPr="00422A8D">
              <w:rPr>
                <w:rFonts w:ascii="Arial" w:eastAsia="Times New Roman" w:hAnsi="Arial" w:cs="Arial"/>
                <w:sz w:val="20"/>
                <w:szCs w:val="20"/>
              </w:rPr>
              <w:t xml:space="preserve"> cloud-based software is simple. No matter the user, there is no infrastructure to purchase, install, or manage. Just log in and get to work putting the student’s success at the center of everything you do!</w:t>
            </w:r>
          </w:p>
          <w:p w:rsidR="000D3837" w:rsidRPr="00422A8D" w:rsidRDefault="000D3837" w:rsidP="00422A8D">
            <w:pPr>
              <w:rPr>
                <w:rFonts w:ascii="Arial" w:hAnsi="Arial" w:cs="Arial"/>
                <w:sz w:val="20"/>
                <w:szCs w:val="20"/>
              </w:rPr>
            </w:pPr>
          </w:p>
        </w:tc>
      </w:tr>
      <w:tr w:rsidR="00306800" w:rsidRPr="00422A8D" w:rsidTr="00AC2134">
        <w:tc>
          <w:tcPr>
            <w:tcW w:w="3528" w:type="dxa"/>
            <w:vAlign w:val="center"/>
          </w:tcPr>
          <w:p w:rsidR="00306800" w:rsidRPr="00422A8D" w:rsidRDefault="00306800" w:rsidP="00422A8D">
            <w:pPr>
              <w:rPr>
                <w:rFonts w:ascii="Arial" w:hAnsi="Arial" w:cs="Arial"/>
                <w:sz w:val="20"/>
                <w:szCs w:val="20"/>
              </w:rPr>
            </w:pPr>
            <w:r>
              <w:rPr>
                <w:rFonts w:ascii="Arial" w:hAnsi="Arial" w:cs="Arial"/>
                <w:sz w:val="20"/>
                <w:szCs w:val="20"/>
              </w:rPr>
              <w:t>Slalom</w:t>
            </w:r>
          </w:p>
        </w:tc>
        <w:tc>
          <w:tcPr>
            <w:tcW w:w="2856" w:type="dxa"/>
            <w:vAlign w:val="center"/>
          </w:tcPr>
          <w:p w:rsidR="00306800" w:rsidRPr="00306800" w:rsidRDefault="00306800" w:rsidP="00306800">
            <w:pPr>
              <w:rPr>
                <w:rFonts w:ascii="Arial" w:hAnsi="Arial" w:cs="Arial"/>
                <w:sz w:val="20"/>
                <w:szCs w:val="20"/>
              </w:rPr>
            </w:pPr>
            <w:r w:rsidRPr="00306800">
              <w:rPr>
                <w:rFonts w:ascii="Arial" w:hAnsi="Arial" w:cs="Arial"/>
                <w:sz w:val="20"/>
                <w:szCs w:val="20"/>
              </w:rPr>
              <w:t>Denver, CO</w:t>
            </w:r>
          </w:p>
        </w:tc>
        <w:tc>
          <w:tcPr>
            <w:tcW w:w="8124" w:type="dxa"/>
          </w:tcPr>
          <w:p w:rsidR="00306800" w:rsidRPr="00306800" w:rsidRDefault="00306800" w:rsidP="00306800">
            <w:pPr>
              <w:rPr>
                <w:rFonts w:ascii="Arial" w:hAnsi="Arial" w:cs="Arial"/>
                <w:sz w:val="20"/>
                <w:szCs w:val="20"/>
              </w:rPr>
            </w:pPr>
            <w:r w:rsidRPr="00306800">
              <w:rPr>
                <w:rFonts w:ascii="Arial" w:hAnsi="Arial" w:cs="Arial"/>
                <w:sz w:val="20"/>
                <w:szCs w:val="20"/>
              </w:rPr>
              <w:t xml:space="preserve">Slalom is a purpose-driven consulting firm that helps organizations solve business problems and build for the future, with solutions spanning business advisory, customer experience, technology, and analytics. We partner with organizations to push the boundaries of what’s possible—together. We have eight primary practices upon which we deliver our services: Technology Enablement; Information Management &amp; Analytics; Digital Experience; Customer Relationship Management; Customer Engagement; Strategy &amp; Operations; Organizational Effectiveness; and, Delivery Leadership. There is a wealth of additional information at </w:t>
            </w:r>
            <w:hyperlink r:id="rId8" w:history="1">
              <w:r w:rsidRPr="00306800">
                <w:rPr>
                  <w:rStyle w:val="Hyperlink"/>
                  <w:rFonts w:ascii="Arial" w:hAnsi="Arial" w:cs="Arial"/>
                  <w:sz w:val="20"/>
                  <w:szCs w:val="20"/>
                </w:rPr>
                <w:t>www.slalom.com</w:t>
              </w:r>
            </w:hyperlink>
            <w:r w:rsidRPr="00306800">
              <w:rPr>
                <w:rFonts w:ascii="Arial" w:hAnsi="Arial" w:cs="Arial"/>
                <w:sz w:val="20"/>
                <w:szCs w:val="20"/>
              </w:rPr>
              <w:t>.</w:t>
            </w:r>
          </w:p>
          <w:p w:rsidR="00306800" w:rsidRPr="00306800" w:rsidRDefault="00306800" w:rsidP="00422A8D">
            <w:pPr>
              <w:rPr>
                <w:rFonts w:ascii="Arial" w:hAnsi="Arial" w:cs="Arial"/>
                <w:sz w:val="20"/>
                <w:szCs w:val="20"/>
              </w:rPr>
            </w:pPr>
          </w:p>
        </w:tc>
      </w:tr>
    </w:tbl>
    <w:p w:rsidR="00867CAF" w:rsidRDefault="00867CAF">
      <w:r>
        <w:br w:type="page"/>
      </w:r>
    </w:p>
    <w:tbl>
      <w:tblPr>
        <w:tblStyle w:val="TableGrid"/>
        <w:tblW w:w="14508" w:type="dxa"/>
        <w:tblLook w:val="04A0" w:firstRow="1" w:lastRow="0" w:firstColumn="1" w:lastColumn="0" w:noHBand="0" w:noVBand="1"/>
      </w:tblPr>
      <w:tblGrid>
        <w:gridCol w:w="3528"/>
        <w:gridCol w:w="2856"/>
        <w:gridCol w:w="8124"/>
      </w:tblGrid>
      <w:tr w:rsidR="00984C36" w:rsidRPr="00422A8D" w:rsidTr="00AC2134">
        <w:tc>
          <w:tcPr>
            <w:tcW w:w="3528" w:type="dxa"/>
            <w:vAlign w:val="center"/>
          </w:tcPr>
          <w:p w:rsidR="000D3837" w:rsidRPr="00422A8D" w:rsidRDefault="000D3837" w:rsidP="00422A8D">
            <w:pPr>
              <w:rPr>
                <w:rFonts w:ascii="Arial" w:hAnsi="Arial" w:cs="Arial"/>
                <w:sz w:val="20"/>
                <w:szCs w:val="20"/>
              </w:rPr>
            </w:pPr>
            <w:proofErr w:type="spellStart"/>
            <w:r w:rsidRPr="00422A8D">
              <w:rPr>
                <w:rFonts w:ascii="Arial" w:hAnsi="Arial" w:cs="Arial"/>
                <w:sz w:val="20"/>
                <w:szCs w:val="20"/>
              </w:rPr>
              <w:t>TuaPath</w:t>
            </w:r>
            <w:proofErr w:type="spellEnd"/>
          </w:p>
        </w:tc>
        <w:tc>
          <w:tcPr>
            <w:tcW w:w="2856" w:type="dxa"/>
            <w:vAlign w:val="center"/>
          </w:tcPr>
          <w:p w:rsidR="000D3837" w:rsidRPr="00422A8D" w:rsidRDefault="008D29D0" w:rsidP="00422A8D">
            <w:pPr>
              <w:rPr>
                <w:rFonts w:ascii="Arial" w:hAnsi="Arial" w:cs="Arial"/>
                <w:sz w:val="20"/>
                <w:szCs w:val="20"/>
              </w:rPr>
            </w:pPr>
            <w:r w:rsidRPr="00422A8D">
              <w:rPr>
                <w:rFonts w:ascii="Arial" w:hAnsi="Arial" w:cs="Arial"/>
                <w:sz w:val="20"/>
                <w:szCs w:val="20"/>
              </w:rPr>
              <w:t>Fort Collins, CO</w:t>
            </w:r>
          </w:p>
        </w:tc>
        <w:tc>
          <w:tcPr>
            <w:tcW w:w="8124" w:type="dxa"/>
          </w:tcPr>
          <w:p w:rsidR="000D3837" w:rsidRPr="00422A8D" w:rsidRDefault="000D3837" w:rsidP="00422A8D">
            <w:pPr>
              <w:rPr>
                <w:rFonts w:ascii="Arial" w:eastAsia="Times New Roman" w:hAnsi="Arial" w:cs="Arial"/>
                <w:sz w:val="20"/>
                <w:szCs w:val="20"/>
              </w:rPr>
            </w:pPr>
            <w:proofErr w:type="spellStart"/>
            <w:r w:rsidRPr="00422A8D">
              <w:rPr>
                <w:rFonts w:ascii="Arial" w:eastAsia="Times New Roman" w:hAnsi="Arial" w:cs="Arial"/>
                <w:sz w:val="20"/>
                <w:szCs w:val="20"/>
              </w:rPr>
              <w:t>TuaPath</w:t>
            </w:r>
            <w:proofErr w:type="spellEnd"/>
            <w:r w:rsidRPr="00422A8D">
              <w:rPr>
                <w:rFonts w:ascii="Arial" w:eastAsia="Times New Roman" w:hAnsi="Arial" w:cs="Arial"/>
                <w:sz w:val="20"/>
                <w:szCs w:val="20"/>
              </w:rPr>
              <w:t>™ is an executive skills informed and client success technology solution that engages users as individuals, guiding them through customizable learning objectives or tasks, enabling rich mentoring and/or coaching interactions online, 24/7.</w:t>
            </w:r>
          </w:p>
          <w:p w:rsidR="000D3837" w:rsidRPr="00422A8D" w:rsidRDefault="000D3837" w:rsidP="00422A8D">
            <w:pPr>
              <w:rPr>
                <w:rFonts w:ascii="Arial" w:eastAsia="Times New Roman" w:hAnsi="Arial" w:cs="Arial"/>
                <w:sz w:val="20"/>
                <w:szCs w:val="20"/>
              </w:rPr>
            </w:pPr>
          </w:p>
          <w:p w:rsidR="000D3837" w:rsidRPr="00422A8D" w:rsidRDefault="000D3837" w:rsidP="00422A8D">
            <w:pPr>
              <w:rPr>
                <w:rFonts w:ascii="Arial" w:eastAsia="Times New Roman" w:hAnsi="Arial" w:cs="Arial"/>
                <w:sz w:val="20"/>
                <w:szCs w:val="20"/>
              </w:rPr>
            </w:pPr>
            <w:r w:rsidRPr="00422A8D">
              <w:rPr>
                <w:rFonts w:ascii="Arial" w:eastAsia="Times New Roman" w:hAnsi="Arial" w:cs="Arial"/>
                <w:sz w:val="20"/>
                <w:szCs w:val="20"/>
              </w:rPr>
              <w:t xml:space="preserve">Based on our software platform originally developed for University Career Centers, </w:t>
            </w:r>
            <w:proofErr w:type="spellStart"/>
            <w:r w:rsidRPr="00422A8D">
              <w:rPr>
                <w:rFonts w:ascii="Arial" w:eastAsia="Times New Roman" w:hAnsi="Arial" w:cs="Arial"/>
                <w:sz w:val="20"/>
                <w:szCs w:val="20"/>
              </w:rPr>
              <w:t>TuaPath</w:t>
            </w:r>
            <w:proofErr w:type="spellEnd"/>
            <w:r w:rsidRPr="00422A8D">
              <w:rPr>
                <w:rFonts w:ascii="Arial" w:eastAsia="Times New Roman" w:hAnsi="Arial" w:cs="Arial"/>
                <w:sz w:val="20"/>
                <w:szCs w:val="20"/>
              </w:rPr>
              <w:t xml:space="preserve"> has evolved into so much more, now successfully expanding into workforce centers and being used for training coaches and mentors.</w:t>
            </w:r>
          </w:p>
          <w:p w:rsidR="000D3837" w:rsidRPr="00422A8D" w:rsidRDefault="000D3837" w:rsidP="00422A8D">
            <w:pPr>
              <w:rPr>
                <w:rFonts w:ascii="Arial" w:eastAsia="Times New Roman" w:hAnsi="Arial" w:cs="Arial"/>
                <w:sz w:val="20"/>
                <w:szCs w:val="20"/>
              </w:rPr>
            </w:pPr>
          </w:p>
          <w:p w:rsidR="000D3837" w:rsidRPr="00422A8D" w:rsidRDefault="000D3837" w:rsidP="00422A8D">
            <w:pPr>
              <w:rPr>
                <w:rFonts w:ascii="Arial" w:eastAsia="Times New Roman" w:hAnsi="Arial" w:cs="Arial"/>
                <w:sz w:val="20"/>
                <w:szCs w:val="20"/>
              </w:rPr>
            </w:pPr>
            <w:r w:rsidRPr="00422A8D">
              <w:rPr>
                <w:rFonts w:ascii="Arial" w:eastAsia="Times New Roman" w:hAnsi="Arial" w:cs="Arial"/>
                <w:sz w:val="20"/>
                <w:szCs w:val="20"/>
              </w:rPr>
              <w:t xml:space="preserve">With personalization, efficient delivery of Learning Objectives or Smart Action Steps, and accountability, </w:t>
            </w:r>
            <w:proofErr w:type="spellStart"/>
            <w:r w:rsidRPr="00422A8D">
              <w:rPr>
                <w:rFonts w:ascii="Arial" w:eastAsia="Times New Roman" w:hAnsi="Arial" w:cs="Arial"/>
                <w:sz w:val="20"/>
                <w:szCs w:val="20"/>
              </w:rPr>
              <w:t>TuaPath</w:t>
            </w:r>
            <w:proofErr w:type="spellEnd"/>
            <w:r w:rsidRPr="00422A8D">
              <w:rPr>
                <w:rFonts w:ascii="Arial" w:eastAsia="Times New Roman" w:hAnsi="Arial" w:cs="Arial"/>
                <w:sz w:val="20"/>
                <w:szCs w:val="20"/>
              </w:rPr>
              <w:t>™ is the best software for counselors, coaches and mentors to make sure that their students and participants are learning the skills or completing the tasks they need to succeed by building pathways in a fun and interactive environment.</w:t>
            </w:r>
          </w:p>
          <w:p w:rsidR="000D3837" w:rsidRPr="00422A8D" w:rsidRDefault="000D3837" w:rsidP="00422A8D">
            <w:pPr>
              <w:rPr>
                <w:rFonts w:ascii="Arial" w:hAnsi="Arial" w:cs="Arial"/>
                <w:sz w:val="20"/>
                <w:szCs w:val="20"/>
              </w:rPr>
            </w:pPr>
          </w:p>
        </w:tc>
      </w:tr>
      <w:tr w:rsidR="00984C36" w:rsidRPr="00422A8D" w:rsidTr="00AC2134">
        <w:tc>
          <w:tcPr>
            <w:tcW w:w="3528" w:type="dxa"/>
            <w:vAlign w:val="center"/>
          </w:tcPr>
          <w:p w:rsidR="00A802F3" w:rsidRPr="00422A8D" w:rsidRDefault="00A802F3" w:rsidP="00422A8D">
            <w:pPr>
              <w:rPr>
                <w:rFonts w:ascii="Arial" w:hAnsi="Arial" w:cs="Arial"/>
                <w:sz w:val="20"/>
                <w:szCs w:val="20"/>
              </w:rPr>
            </w:pPr>
            <w:proofErr w:type="spellStart"/>
            <w:r w:rsidRPr="00422A8D">
              <w:rPr>
                <w:rFonts w:ascii="Arial" w:hAnsi="Arial" w:cs="Arial"/>
                <w:sz w:val="20"/>
                <w:szCs w:val="20"/>
              </w:rPr>
              <w:t>Vertiba</w:t>
            </w:r>
            <w:proofErr w:type="spellEnd"/>
            <w:r w:rsidR="00136624" w:rsidRPr="00422A8D">
              <w:rPr>
                <w:rFonts w:ascii="Arial" w:hAnsi="Arial" w:cs="Arial"/>
                <w:sz w:val="20"/>
                <w:szCs w:val="20"/>
              </w:rPr>
              <w:t xml:space="preserve"> (</w:t>
            </w:r>
            <w:proofErr w:type="spellStart"/>
            <w:r w:rsidR="00136624" w:rsidRPr="00422A8D">
              <w:rPr>
                <w:rFonts w:ascii="Arial" w:hAnsi="Arial" w:cs="Arial"/>
                <w:sz w:val="20"/>
                <w:szCs w:val="20"/>
              </w:rPr>
              <w:t>Salesforce</w:t>
            </w:r>
            <w:proofErr w:type="spellEnd"/>
            <w:r w:rsidR="00136624" w:rsidRPr="00422A8D">
              <w:rPr>
                <w:rFonts w:ascii="Arial" w:hAnsi="Arial" w:cs="Arial"/>
                <w:sz w:val="20"/>
                <w:szCs w:val="20"/>
              </w:rPr>
              <w:t xml:space="preserve"> consulting)</w:t>
            </w:r>
          </w:p>
        </w:tc>
        <w:tc>
          <w:tcPr>
            <w:tcW w:w="2856" w:type="dxa"/>
            <w:vAlign w:val="center"/>
          </w:tcPr>
          <w:p w:rsidR="00A802F3" w:rsidRPr="00422A8D" w:rsidRDefault="00136624" w:rsidP="00422A8D">
            <w:pPr>
              <w:rPr>
                <w:rFonts w:ascii="Arial" w:hAnsi="Arial" w:cs="Arial"/>
                <w:sz w:val="20"/>
                <w:szCs w:val="20"/>
                <w:lang w:val="es-MX"/>
              </w:rPr>
            </w:pPr>
            <w:r w:rsidRPr="00422A8D">
              <w:rPr>
                <w:rFonts w:ascii="Arial" w:hAnsi="Arial" w:cs="Arial"/>
                <w:sz w:val="20"/>
                <w:szCs w:val="20"/>
                <w:lang w:val="es-MX"/>
              </w:rPr>
              <w:t>Boulder, CO</w:t>
            </w:r>
          </w:p>
        </w:tc>
        <w:tc>
          <w:tcPr>
            <w:tcW w:w="8124" w:type="dxa"/>
          </w:tcPr>
          <w:p w:rsidR="00A802F3" w:rsidRPr="00422A8D" w:rsidRDefault="00A802F3" w:rsidP="00422A8D">
            <w:pPr>
              <w:numPr>
                <w:ilvl w:val="0"/>
                <w:numId w:val="1"/>
              </w:numPr>
              <w:rPr>
                <w:rFonts w:ascii="Arial" w:hAnsi="Arial" w:cs="Arial"/>
                <w:sz w:val="20"/>
                <w:szCs w:val="20"/>
              </w:rPr>
            </w:pPr>
            <w:proofErr w:type="spellStart"/>
            <w:r w:rsidRPr="00422A8D">
              <w:rPr>
                <w:rFonts w:ascii="Arial" w:hAnsi="Arial" w:cs="Arial"/>
                <w:sz w:val="20"/>
                <w:szCs w:val="20"/>
              </w:rPr>
              <w:t>Vertiba</w:t>
            </w:r>
            <w:proofErr w:type="spellEnd"/>
            <w:r w:rsidRPr="00422A8D">
              <w:rPr>
                <w:rFonts w:ascii="Arial" w:hAnsi="Arial" w:cs="Arial"/>
                <w:sz w:val="20"/>
                <w:szCs w:val="20"/>
              </w:rPr>
              <w:t xml:space="preserve"> is a pure-play Salesforce.com Platinum Consulting firm based out of Boulder, Colorado. Salesforce.com is all we do</w:t>
            </w:r>
          </w:p>
          <w:p w:rsidR="00A802F3" w:rsidRPr="00422A8D" w:rsidRDefault="00A802F3" w:rsidP="00422A8D">
            <w:pPr>
              <w:numPr>
                <w:ilvl w:val="0"/>
                <w:numId w:val="1"/>
              </w:numPr>
              <w:rPr>
                <w:rFonts w:ascii="Arial" w:hAnsi="Arial" w:cs="Arial"/>
                <w:sz w:val="20"/>
                <w:szCs w:val="20"/>
              </w:rPr>
            </w:pPr>
            <w:r w:rsidRPr="00422A8D">
              <w:rPr>
                <w:rFonts w:ascii="Arial" w:hAnsi="Arial" w:cs="Arial"/>
                <w:sz w:val="20"/>
                <w:szCs w:val="20"/>
              </w:rPr>
              <w:t>With a total of ~215 consultants, nearly half are local to Colorado</w:t>
            </w:r>
          </w:p>
          <w:p w:rsidR="00A802F3" w:rsidRPr="00422A8D" w:rsidRDefault="00A802F3" w:rsidP="00422A8D">
            <w:pPr>
              <w:numPr>
                <w:ilvl w:val="0"/>
                <w:numId w:val="1"/>
              </w:numPr>
              <w:rPr>
                <w:rFonts w:ascii="Arial" w:hAnsi="Arial" w:cs="Arial"/>
                <w:sz w:val="20"/>
                <w:szCs w:val="20"/>
              </w:rPr>
            </w:pPr>
            <w:r w:rsidRPr="00422A8D">
              <w:rPr>
                <w:rFonts w:ascii="Arial" w:hAnsi="Arial" w:cs="Arial"/>
                <w:sz w:val="20"/>
                <w:szCs w:val="20"/>
              </w:rPr>
              <w:t>Public Sector is our leading vertical. We have completed over 400 projects for state and local government, 100 of those are for the State of Colorado. </w:t>
            </w:r>
          </w:p>
          <w:p w:rsidR="00A802F3" w:rsidRPr="00422A8D" w:rsidRDefault="00A802F3" w:rsidP="00422A8D">
            <w:pPr>
              <w:numPr>
                <w:ilvl w:val="0"/>
                <w:numId w:val="1"/>
              </w:numPr>
              <w:rPr>
                <w:rFonts w:ascii="Arial" w:hAnsi="Arial" w:cs="Arial"/>
                <w:sz w:val="20"/>
                <w:szCs w:val="20"/>
              </w:rPr>
            </w:pPr>
            <w:r w:rsidRPr="00422A8D">
              <w:rPr>
                <w:rFonts w:ascii="Arial" w:hAnsi="Arial" w:cs="Arial"/>
                <w:sz w:val="20"/>
                <w:szCs w:val="20"/>
              </w:rPr>
              <w:t>VIP Assets - We have a free catalog of solution accelerators we can bring to the table to help solve your business problems. This helps reduce overall time and risk for our projects. Read more about our VIP here: </w:t>
            </w:r>
            <w:hyperlink r:id="rId9" w:history="1">
              <w:r w:rsidRPr="00422A8D">
                <w:rPr>
                  <w:rStyle w:val="Hyperlink"/>
                  <w:rFonts w:ascii="Arial" w:hAnsi="Arial" w:cs="Arial"/>
                  <w:color w:val="auto"/>
                  <w:sz w:val="20"/>
                  <w:szCs w:val="20"/>
                </w:rPr>
                <w:t>http://vertiba.com/vip/</w:t>
              </w:r>
            </w:hyperlink>
          </w:p>
          <w:p w:rsidR="00A802F3" w:rsidRPr="00422A8D" w:rsidRDefault="00A802F3" w:rsidP="00422A8D">
            <w:pPr>
              <w:numPr>
                <w:ilvl w:val="0"/>
                <w:numId w:val="1"/>
              </w:numPr>
              <w:rPr>
                <w:rFonts w:ascii="Arial" w:eastAsia="Times New Roman" w:hAnsi="Arial" w:cs="Arial"/>
                <w:sz w:val="20"/>
                <w:szCs w:val="20"/>
              </w:rPr>
            </w:pPr>
            <w:r w:rsidRPr="00422A8D">
              <w:rPr>
                <w:rFonts w:ascii="Arial" w:hAnsi="Arial" w:cs="Arial"/>
                <w:sz w:val="20"/>
                <w:szCs w:val="20"/>
              </w:rPr>
              <w:t xml:space="preserve">Experience in higher education as well as awarded to build a similar solution for </w:t>
            </w:r>
            <w:proofErr w:type="spellStart"/>
            <w:r w:rsidRPr="00422A8D">
              <w:rPr>
                <w:rFonts w:ascii="Arial" w:hAnsi="Arial" w:cs="Arial"/>
                <w:sz w:val="20"/>
                <w:szCs w:val="20"/>
              </w:rPr>
              <w:t>CareerWise</w:t>
            </w:r>
            <w:proofErr w:type="spellEnd"/>
            <w:r w:rsidRPr="00422A8D">
              <w:rPr>
                <w:rFonts w:ascii="Arial" w:hAnsi="Arial" w:cs="Arial"/>
                <w:sz w:val="20"/>
                <w:szCs w:val="20"/>
              </w:rPr>
              <w:t xml:space="preserve"> Colorado. </w:t>
            </w:r>
          </w:p>
          <w:p w:rsidR="00422A8D" w:rsidRPr="00422A8D" w:rsidRDefault="00422A8D" w:rsidP="00422A8D">
            <w:pPr>
              <w:ind w:left="360"/>
              <w:rPr>
                <w:rFonts w:ascii="Arial" w:eastAsia="Times New Roman" w:hAnsi="Arial" w:cs="Arial"/>
                <w:sz w:val="20"/>
                <w:szCs w:val="20"/>
              </w:rPr>
            </w:pPr>
          </w:p>
        </w:tc>
      </w:tr>
      <w:tr w:rsidR="00984C36" w:rsidRPr="00422A8D" w:rsidTr="00AC2134">
        <w:tc>
          <w:tcPr>
            <w:tcW w:w="3528" w:type="dxa"/>
            <w:vAlign w:val="center"/>
          </w:tcPr>
          <w:p w:rsidR="000D3837" w:rsidRPr="00422A8D" w:rsidRDefault="000D3837" w:rsidP="00422A8D">
            <w:pPr>
              <w:rPr>
                <w:rFonts w:ascii="Arial" w:hAnsi="Arial" w:cs="Arial"/>
                <w:sz w:val="20"/>
                <w:szCs w:val="20"/>
              </w:rPr>
            </w:pPr>
            <w:proofErr w:type="spellStart"/>
            <w:r w:rsidRPr="00422A8D">
              <w:rPr>
                <w:rFonts w:ascii="Arial" w:hAnsi="Arial" w:cs="Arial"/>
                <w:sz w:val="20"/>
                <w:szCs w:val="20"/>
              </w:rPr>
              <w:t>Viridis</w:t>
            </w:r>
            <w:proofErr w:type="spellEnd"/>
            <w:r w:rsidRPr="00422A8D">
              <w:rPr>
                <w:rFonts w:ascii="Arial" w:hAnsi="Arial" w:cs="Arial"/>
                <w:sz w:val="20"/>
                <w:szCs w:val="20"/>
              </w:rPr>
              <w:t xml:space="preserve"> Learning</w:t>
            </w:r>
          </w:p>
        </w:tc>
        <w:tc>
          <w:tcPr>
            <w:tcW w:w="2856" w:type="dxa"/>
            <w:vAlign w:val="center"/>
          </w:tcPr>
          <w:p w:rsidR="000D3837" w:rsidRPr="00422A8D" w:rsidRDefault="00BB7E06" w:rsidP="00422A8D">
            <w:pPr>
              <w:rPr>
                <w:rFonts w:ascii="Arial" w:hAnsi="Arial" w:cs="Arial"/>
                <w:sz w:val="20"/>
                <w:szCs w:val="20"/>
                <w:lang w:val="es-MX"/>
              </w:rPr>
            </w:pPr>
            <w:r w:rsidRPr="00422A8D">
              <w:rPr>
                <w:rFonts w:ascii="Arial" w:hAnsi="Arial" w:cs="Arial"/>
                <w:sz w:val="20"/>
                <w:szCs w:val="20"/>
                <w:lang w:val="es-MX"/>
              </w:rPr>
              <w:t>Palo Alto, CA; Austin, TX</w:t>
            </w:r>
          </w:p>
        </w:tc>
        <w:tc>
          <w:tcPr>
            <w:tcW w:w="8124" w:type="dxa"/>
          </w:tcPr>
          <w:p w:rsidR="00422A8D" w:rsidRDefault="007655D8" w:rsidP="00CF1419">
            <w:pPr>
              <w:rPr>
                <w:rFonts w:ascii="Arial" w:hAnsi="Arial" w:cs="Arial"/>
                <w:sz w:val="20"/>
                <w:szCs w:val="20"/>
              </w:rPr>
            </w:pPr>
            <w:proofErr w:type="spellStart"/>
            <w:r w:rsidRPr="00422A8D">
              <w:rPr>
                <w:rFonts w:ascii="Arial" w:hAnsi="Arial" w:cs="Arial"/>
                <w:sz w:val="20"/>
                <w:szCs w:val="20"/>
              </w:rPr>
              <w:t>Viridis</w:t>
            </w:r>
            <w:proofErr w:type="spellEnd"/>
            <w:r w:rsidRPr="00422A8D">
              <w:rPr>
                <w:rFonts w:ascii="Arial" w:hAnsi="Arial" w:cs="Arial"/>
                <w:sz w:val="20"/>
                <w:szCs w:val="20"/>
              </w:rPr>
              <w:t xml:space="preserve"> is a cloud-based, </w:t>
            </w:r>
            <w:proofErr w:type="spellStart"/>
            <w:r w:rsidRPr="00422A8D">
              <w:rPr>
                <w:rFonts w:ascii="Arial" w:hAnsi="Arial" w:cs="Arial"/>
                <w:sz w:val="20"/>
                <w:szCs w:val="20"/>
              </w:rPr>
              <w:t>SaaS</w:t>
            </w:r>
            <w:proofErr w:type="spellEnd"/>
            <w:r w:rsidRPr="00422A8D">
              <w:rPr>
                <w:rFonts w:ascii="Arial" w:hAnsi="Arial" w:cs="Arial"/>
                <w:sz w:val="20"/>
                <w:szCs w:val="20"/>
              </w:rPr>
              <w:t xml:space="preserve"> technology platform that integrates with existing student information systems, government databases and labor market information to connect students to employers.  The goal is to identify how we can get better at directing learners to pathways which have currency in today’s market, to use technology to more effectively connect them directly to opportunity, and measure the economic impact of that educational investment.</w:t>
            </w:r>
          </w:p>
          <w:p w:rsidR="00B64CB8" w:rsidRPr="00422A8D" w:rsidRDefault="00B64CB8" w:rsidP="00CF1419">
            <w:pPr>
              <w:rPr>
                <w:rFonts w:ascii="Arial" w:eastAsia="Times New Roman" w:hAnsi="Arial" w:cs="Arial"/>
                <w:sz w:val="20"/>
                <w:szCs w:val="20"/>
              </w:rPr>
            </w:pPr>
          </w:p>
        </w:tc>
      </w:tr>
      <w:tr w:rsidR="00984C36" w:rsidRPr="00422A8D" w:rsidTr="00AC2134">
        <w:tc>
          <w:tcPr>
            <w:tcW w:w="3528" w:type="dxa"/>
            <w:vAlign w:val="center"/>
          </w:tcPr>
          <w:p w:rsidR="00321458" w:rsidRPr="00422A8D" w:rsidRDefault="00321458" w:rsidP="00422A8D">
            <w:pPr>
              <w:rPr>
                <w:rFonts w:ascii="Arial" w:hAnsi="Arial" w:cs="Arial"/>
                <w:sz w:val="20"/>
                <w:szCs w:val="20"/>
                <w:lang w:val="es-MX"/>
              </w:rPr>
            </w:pPr>
            <w:r w:rsidRPr="00422A8D">
              <w:rPr>
                <w:rFonts w:ascii="Arial" w:hAnsi="Arial" w:cs="Arial"/>
                <w:sz w:val="20"/>
                <w:szCs w:val="20"/>
                <w:lang w:val="es-MX"/>
              </w:rPr>
              <w:t>Visa (</w:t>
            </w:r>
            <w:proofErr w:type="spellStart"/>
            <w:r w:rsidRPr="00422A8D">
              <w:rPr>
                <w:rFonts w:ascii="Arial" w:hAnsi="Arial" w:cs="Arial"/>
                <w:sz w:val="20"/>
                <w:szCs w:val="20"/>
                <w:lang w:val="es-MX"/>
              </w:rPr>
              <w:t>Practical</w:t>
            </w:r>
            <w:proofErr w:type="spellEnd"/>
            <w:r w:rsidRPr="00422A8D">
              <w:rPr>
                <w:rFonts w:ascii="Arial" w:hAnsi="Arial" w:cs="Arial"/>
                <w:sz w:val="20"/>
                <w:szCs w:val="20"/>
                <w:lang w:val="es-MX"/>
              </w:rPr>
              <w:t xml:space="preserve"> Money </w:t>
            </w:r>
            <w:proofErr w:type="spellStart"/>
            <w:r w:rsidRPr="00422A8D">
              <w:rPr>
                <w:rFonts w:ascii="Arial" w:hAnsi="Arial" w:cs="Arial"/>
                <w:sz w:val="20"/>
                <w:szCs w:val="20"/>
                <w:lang w:val="es-MX"/>
              </w:rPr>
              <w:t>Skills</w:t>
            </w:r>
            <w:proofErr w:type="spellEnd"/>
            <w:r w:rsidRPr="00422A8D">
              <w:rPr>
                <w:rFonts w:ascii="Arial" w:hAnsi="Arial" w:cs="Arial"/>
                <w:sz w:val="20"/>
                <w:szCs w:val="20"/>
                <w:lang w:val="es-MX"/>
              </w:rPr>
              <w:t>)</w:t>
            </w:r>
          </w:p>
        </w:tc>
        <w:tc>
          <w:tcPr>
            <w:tcW w:w="2856" w:type="dxa"/>
            <w:vAlign w:val="center"/>
          </w:tcPr>
          <w:p w:rsidR="00321458" w:rsidRPr="00422A8D" w:rsidRDefault="00BC3CA7" w:rsidP="00422A8D">
            <w:pPr>
              <w:rPr>
                <w:rFonts w:ascii="Arial" w:hAnsi="Arial" w:cs="Arial"/>
                <w:sz w:val="20"/>
                <w:szCs w:val="20"/>
                <w:lang w:val="es-MX"/>
              </w:rPr>
            </w:pPr>
            <w:r w:rsidRPr="00422A8D">
              <w:rPr>
                <w:rFonts w:ascii="Arial" w:hAnsi="Arial" w:cs="Arial"/>
                <w:sz w:val="20"/>
                <w:szCs w:val="20"/>
                <w:lang w:val="es-MX"/>
              </w:rPr>
              <w:t>Foster City, CA</w:t>
            </w:r>
          </w:p>
        </w:tc>
        <w:tc>
          <w:tcPr>
            <w:tcW w:w="8124" w:type="dxa"/>
          </w:tcPr>
          <w:p w:rsidR="00321458" w:rsidRPr="00422A8D" w:rsidRDefault="00321458" w:rsidP="00422A8D">
            <w:pPr>
              <w:rPr>
                <w:rFonts w:ascii="Arial" w:hAnsi="Arial" w:cs="Arial"/>
                <w:sz w:val="20"/>
                <w:szCs w:val="20"/>
              </w:rPr>
            </w:pPr>
            <w:r w:rsidRPr="00422A8D">
              <w:rPr>
                <w:rFonts w:ascii="Arial" w:hAnsi="Arial" w:cs="Arial"/>
                <w:sz w:val="20"/>
                <w:szCs w:val="20"/>
              </w:rPr>
              <w:t xml:space="preserve">Visa has over 20 years of expertise in designing and producing our own proprietary financial education materials and programs. Visa distributes our materials for free both direct to consumers (through practicalmoneyskills.com) and through government and client partners. While we have resources that are targeted at everyone from pre-school to retirees, we are most known for using </w:t>
            </w:r>
            <w:proofErr w:type="spellStart"/>
            <w:r w:rsidRPr="00422A8D">
              <w:rPr>
                <w:rFonts w:ascii="Arial" w:hAnsi="Arial" w:cs="Arial"/>
                <w:sz w:val="20"/>
                <w:szCs w:val="20"/>
              </w:rPr>
              <w:t>gamification</w:t>
            </w:r>
            <w:proofErr w:type="spellEnd"/>
            <w:r w:rsidRPr="00422A8D">
              <w:rPr>
                <w:rFonts w:ascii="Arial" w:hAnsi="Arial" w:cs="Arial"/>
                <w:sz w:val="20"/>
                <w:szCs w:val="20"/>
              </w:rPr>
              <w:t xml:space="preserve"> or edutainment to make a subject, which some can view as dull, engaging and exciting.  </w:t>
            </w:r>
          </w:p>
          <w:p w:rsidR="00321458" w:rsidRPr="00422A8D" w:rsidRDefault="00321458" w:rsidP="00422A8D">
            <w:pPr>
              <w:rPr>
                <w:rFonts w:ascii="Arial" w:eastAsia="Times New Roman" w:hAnsi="Arial" w:cs="Arial"/>
                <w:sz w:val="20"/>
                <w:szCs w:val="20"/>
              </w:rPr>
            </w:pPr>
          </w:p>
        </w:tc>
      </w:tr>
    </w:tbl>
    <w:p w:rsidR="00867CAF" w:rsidRDefault="00867CAF">
      <w:r>
        <w:br w:type="page"/>
      </w:r>
    </w:p>
    <w:tbl>
      <w:tblPr>
        <w:tblStyle w:val="TableGrid"/>
        <w:tblW w:w="14508" w:type="dxa"/>
        <w:tblLook w:val="04A0" w:firstRow="1" w:lastRow="0" w:firstColumn="1" w:lastColumn="0" w:noHBand="0" w:noVBand="1"/>
      </w:tblPr>
      <w:tblGrid>
        <w:gridCol w:w="3528"/>
        <w:gridCol w:w="2856"/>
        <w:gridCol w:w="8124"/>
      </w:tblGrid>
      <w:tr w:rsidR="00984C36" w:rsidRPr="00422A8D" w:rsidTr="00AC2134">
        <w:tc>
          <w:tcPr>
            <w:tcW w:w="3528" w:type="dxa"/>
            <w:vAlign w:val="center"/>
          </w:tcPr>
          <w:p w:rsidR="000D3837" w:rsidRPr="00422A8D" w:rsidRDefault="000D3837" w:rsidP="00422A8D">
            <w:pPr>
              <w:rPr>
                <w:rFonts w:ascii="Arial" w:hAnsi="Arial" w:cs="Arial"/>
                <w:sz w:val="20"/>
                <w:szCs w:val="20"/>
              </w:rPr>
            </w:pPr>
            <w:r w:rsidRPr="00422A8D">
              <w:rPr>
                <w:rFonts w:ascii="Arial" w:hAnsi="Arial" w:cs="Arial"/>
                <w:sz w:val="20"/>
                <w:szCs w:val="20"/>
              </w:rPr>
              <w:t>XAP Corporation</w:t>
            </w:r>
          </w:p>
        </w:tc>
        <w:tc>
          <w:tcPr>
            <w:tcW w:w="2856" w:type="dxa"/>
            <w:vAlign w:val="center"/>
          </w:tcPr>
          <w:p w:rsidR="000D3837" w:rsidRPr="00422A8D" w:rsidRDefault="000D3837" w:rsidP="00422A8D">
            <w:pPr>
              <w:rPr>
                <w:rFonts w:ascii="Arial" w:hAnsi="Arial" w:cs="Arial"/>
                <w:sz w:val="20"/>
                <w:szCs w:val="20"/>
              </w:rPr>
            </w:pPr>
            <w:r w:rsidRPr="00422A8D">
              <w:rPr>
                <w:rFonts w:ascii="Arial" w:hAnsi="Arial" w:cs="Arial"/>
                <w:sz w:val="20"/>
                <w:szCs w:val="20"/>
              </w:rPr>
              <w:t>Culver City, CA</w:t>
            </w:r>
          </w:p>
        </w:tc>
        <w:tc>
          <w:tcPr>
            <w:tcW w:w="8124" w:type="dxa"/>
          </w:tcPr>
          <w:p w:rsidR="009137FC" w:rsidRPr="00422A8D" w:rsidRDefault="009137FC" w:rsidP="00422A8D">
            <w:pPr>
              <w:rPr>
                <w:rFonts w:ascii="Arial" w:hAnsi="Arial" w:cs="Arial"/>
                <w:sz w:val="20"/>
                <w:szCs w:val="20"/>
              </w:rPr>
            </w:pPr>
            <w:r w:rsidRPr="00422A8D">
              <w:rPr>
                <w:rFonts w:ascii="Arial" w:hAnsi="Arial" w:cs="Arial"/>
                <w:sz w:val="20"/>
                <w:szCs w:val="20"/>
              </w:rPr>
              <w:t>A pioneer in education technology, XAP provides a robust combination of online tools to help students and adults gain personal insights into their skills and interests, and then turn those insights into career and educational goals — including exploring, planning, and applying to college. XAP’s products are used by thousands of K-12 institutions, colleges, universities and adult-focused service organizations. With decades of experience serving many diverse states with their career and academic exploration and planning needs, XAP has the specialized education expertise, and technical competence to deliver successful implementations of statewide systems. </w:t>
            </w:r>
          </w:p>
          <w:p w:rsidR="000D3837" w:rsidRPr="00422A8D" w:rsidRDefault="000D3837" w:rsidP="00422A8D">
            <w:pPr>
              <w:rPr>
                <w:rFonts w:ascii="Arial" w:eastAsia="Times New Roman" w:hAnsi="Arial" w:cs="Arial"/>
                <w:sz w:val="20"/>
                <w:szCs w:val="20"/>
              </w:rPr>
            </w:pPr>
          </w:p>
        </w:tc>
      </w:tr>
    </w:tbl>
    <w:p w:rsidR="00927DDF" w:rsidRPr="00422A8D" w:rsidRDefault="00927DDF" w:rsidP="00422A8D">
      <w:pPr>
        <w:rPr>
          <w:rFonts w:ascii="Arial" w:hAnsi="Arial" w:cs="Arial"/>
          <w:b/>
          <w:sz w:val="20"/>
          <w:szCs w:val="20"/>
        </w:rPr>
      </w:pPr>
      <w:bookmarkStart w:id="0" w:name="_GoBack"/>
      <w:bookmarkEnd w:id="0"/>
    </w:p>
    <w:sectPr w:rsidR="00927DDF" w:rsidRPr="00422A8D" w:rsidSect="00984C36">
      <w:headerReference w:type="default" r:id="rId10"/>
      <w:footerReference w:type="default" r:id="rId11"/>
      <w:pgSz w:w="15840" w:h="12240" w:orient="landscape"/>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40" w:rsidRDefault="00F03940" w:rsidP="00B1729F">
      <w:r>
        <w:separator/>
      </w:r>
    </w:p>
  </w:endnote>
  <w:endnote w:type="continuationSeparator" w:id="0">
    <w:p w:rsidR="00F03940" w:rsidRDefault="00F03940" w:rsidP="00B1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36608"/>
      <w:docPartObj>
        <w:docPartGallery w:val="Page Numbers (Bottom of Page)"/>
        <w:docPartUnique/>
      </w:docPartObj>
    </w:sdtPr>
    <w:sdtEndPr>
      <w:rPr>
        <w:color w:val="808080" w:themeColor="background1" w:themeShade="80"/>
        <w:spacing w:val="60"/>
      </w:rPr>
    </w:sdtEndPr>
    <w:sdtContent>
      <w:p w:rsidR="00453DB3" w:rsidRDefault="00453D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453DB3" w:rsidRDefault="00453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40" w:rsidRDefault="00F03940" w:rsidP="00B1729F">
      <w:r>
        <w:separator/>
      </w:r>
    </w:p>
  </w:footnote>
  <w:footnote w:type="continuationSeparator" w:id="0">
    <w:p w:rsidR="00F03940" w:rsidRDefault="00F03940" w:rsidP="00B1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40" w:rsidRDefault="00453DB3" w:rsidP="00B1729F">
    <w:pPr>
      <w:pStyle w:val="Header"/>
      <w:jc w:val="right"/>
    </w:pPr>
    <w:r>
      <w:t>5</w:t>
    </w:r>
    <w:r w:rsidR="00F03940">
      <w:t>/</w:t>
    </w:r>
    <w:r w:rsidR="003C2B62">
      <w:t>1</w:t>
    </w:r>
    <w:r w:rsidR="00F03940">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414"/>
    <w:multiLevelType w:val="multilevel"/>
    <w:tmpl w:val="D5F6E8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6B6D01EC"/>
    <w:multiLevelType w:val="hybridMultilevel"/>
    <w:tmpl w:val="B9DE2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27C61B8"/>
    <w:multiLevelType w:val="hybridMultilevel"/>
    <w:tmpl w:val="2DFA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D97749"/>
    <w:multiLevelType w:val="multilevel"/>
    <w:tmpl w:val="01D24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DF"/>
    <w:rsid w:val="000D3837"/>
    <w:rsid w:val="00123E43"/>
    <w:rsid w:val="00136624"/>
    <w:rsid w:val="0029670F"/>
    <w:rsid w:val="00306800"/>
    <w:rsid w:val="00321458"/>
    <w:rsid w:val="00340D2D"/>
    <w:rsid w:val="00385EBC"/>
    <w:rsid w:val="003C2B62"/>
    <w:rsid w:val="00422A8D"/>
    <w:rsid w:val="00441C18"/>
    <w:rsid w:val="00453DB3"/>
    <w:rsid w:val="00454E65"/>
    <w:rsid w:val="006F4928"/>
    <w:rsid w:val="0070179A"/>
    <w:rsid w:val="007655D8"/>
    <w:rsid w:val="008128EC"/>
    <w:rsid w:val="00867CAF"/>
    <w:rsid w:val="008D29D0"/>
    <w:rsid w:val="009137FC"/>
    <w:rsid w:val="00927DDF"/>
    <w:rsid w:val="00984C36"/>
    <w:rsid w:val="00A802F3"/>
    <w:rsid w:val="00AC2134"/>
    <w:rsid w:val="00AC2BD4"/>
    <w:rsid w:val="00B168E6"/>
    <w:rsid w:val="00B1729F"/>
    <w:rsid w:val="00B2615D"/>
    <w:rsid w:val="00B4716F"/>
    <w:rsid w:val="00B51102"/>
    <w:rsid w:val="00B64CB8"/>
    <w:rsid w:val="00BB7E06"/>
    <w:rsid w:val="00BC3CA7"/>
    <w:rsid w:val="00C07B64"/>
    <w:rsid w:val="00C30E35"/>
    <w:rsid w:val="00CF1419"/>
    <w:rsid w:val="00E32048"/>
    <w:rsid w:val="00E824B9"/>
    <w:rsid w:val="00F03940"/>
    <w:rsid w:val="00F5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27DDF"/>
    <w:rPr>
      <w:color w:val="0563C1"/>
      <w:u w:val="single"/>
    </w:rPr>
  </w:style>
  <w:style w:type="paragraph" w:styleId="NormalWeb">
    <w:name w:val="Normal (Web)"/>
    <w:basedOn w:val="Normal"/>
    <w:uiPriority w:val="99"/>
    <w:semiHidden/>
    <w:unhideWhenUsed/>
    <w:rsid w:val="00927DDF"/>
    <w:rPr>
      <w:rFonts w:ascii="Times New Roman" w:hAnsi="Times New Roman" w:cs="Times New Roman"/>
      <w:sz w:val="24"/>
      <w:szCs w:val="24"/>
    </w:rPr>
  </w:style>
  <w:style w:type="paragraph" w:styleId="Header">
    <w:name w:val="header"/>
    <w:basedOn w:val="Normal"/>
    <w:link w:val="HeaderChar"/>
    <w:uiPriority w:val="99"/>
    <w:unhideWhenUsed/>
    <w:rsid w:val="00B1729F"/>
    <w:pPr>
      <w:tabs>
        <w:tab w:val="center" w:pos="4680"/>
        <w:tab w:val="right" w:pos="9360"/>
      </w:tabs>
    </w:pPr>
  </w:style>
  <w:style w:type="character" w:customStyle="1" w:styleId="HeaderChar">
    <w:name w:val="Header Char"/>
    <w:basedOn w:val="DefaultParagraphFont"/>
    <w:link w:val="Header"/>
    <w:uiPriority w:val="99"/>
    <w:rsid w:val="00B1729F"/>
  </w:style>
  <w:style w:type="paragraph" w:styleId="Footer">
    <w:name w:val="footer"/>
    <w:basedOn w:val="Normal"/>
    <w:link w:val="FooterChar"/>
    <w:uiPriority w:val="99"/>
    <w:unhideWhenUsed/>
    <w:rsid w:val="00B1729F"/>
    <w:pPr>
      <w:tabs>
        <w:tab w:val="center" w:pos="4680"/>
        <w:tab w:val="right" w:pos="9360"/>
      </w:tabs>
    </w:pPr>
  </w:style>
  <w:style w:type="character" w:customStyle="1" w:styleId="FooterChar">
    <w:name w:val="Footer Char"/>
    <w:basedOn w:val="DefaultParagraphFont"/>
    <w:link w:val="Footer"/>
    <w:uiPriority w:val="99"/>
    <w:rsid w:val="00B1729F"/>
  </w:style>
  <w:style w:type="paragraph" w:customStyle="1" w:styleId="gmail-msolistparagraph">
    <w:name w:val="gmail-msolistparagraph"/>
    <w:basedOn w:val="Normal"/>
    <w:rsid w:val="00454E65"/>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2B62"/>
    <w:rPr>
      <w:rFonts w:ascii="Tahoma" w:hAnsi="Tahoma" w:cs="Tahoma"/>
      <w:sz w:val="16"/>
      <w:szCs w:val="16"/>
    </w:rPr>
  </w:style>
  <w:style w:type="character" w:customStyle="1" w:styleId="BalloonTextChar">
    <w:name w:val="Balloon Text Char"/>
    <w:basedOn w:val="DefaultParagraphFont"/>
    <w:link w:val="BalloonText"/>
    <w:uiPriority w:val="99"/>
    <w:semiHidden/>
    <w:rsid w:val="003C2B62"/>
    <w:rPr>
      <w:rFonts w:ascii="Tahoma" w:hAnsi="Tahoma" w:cs="Tahoma"/>
      <w:sz w:val="16"/>
      <w:szCs w:val="16"/>
    </w:rPr>
  </w:style>
  <w:style w:type="paragraph" w:styleId="ListParagraph">
    <w:name w:val="List Paragraph"/>
    <w:basedOn w:val="Normal"/>
    <w:uiPriority w:val="34"/>
    <w:qFormat/>
    <w:rsid w:val="006F4928"/>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27DDF"/>
    <w:rPr>
      <w:color w:val="0563C1"/>
      <w:u w:val="single"/>
    </w:rPr>
  </w:style>
  <w:style w:type="paragraph" w:styleId="NormalWeb">
    <w:name w:val="Normal (Web)"/>
    <w:basedOn w:val="Normal"/>
    <w:uiPriority w:val="99"/>
    <w:semiHidden/>
    <w:unhideWhenUsed/>
    <w:rsid w:val="00927DDF"/>
    <w:rPr>
      <w:rFonts w:ascii="Times New Roman" w:hAnsi="Times New Roman" w:cs="Times New Roman"/>
      <w:sz w:val="24"/>
      <w:szCs w:val="24"/>
    </w:rPr>
  </w:style>
  <w:style w:type="paragraph" w:styleId="Header">
    <w:name w:val="header"/>
    <w:basedOn w:val="Normal"/>
    <w:link w:val="HeaderChar"/>
    <w:uiPriority w:val="99"/>
    <w:unhideWhenUsed/>
    <w:rsid w:val="00B1729F"/>
    <w:pPr>
      <w:tabs>
        <w:tab w:val="center" w:pos="4680"/>
        <w:tab w:val="right" w:pos="9360"/>
      </w:tabs>
    </w:pPr>
  </w:style>
  <w:style w:type="character" w:customStyle="1" w:styleId="HeaderChar">
    <w:name w:val="Header Char"/>
    <w:basedOn w:val="DefaultParagraphFont"/>
    <w:link w:val="Header"/>
    <w:uiPriority w:val="99"/>
    <w:rsid w:val="00B1729F"/>
  </w:style>
  <w:style w:type="paragraph" w:styleId="Footer">
    <w:name w:val="footer"/>
    <w:basedOn w:val="Normal"/>
    <w:link w:val="FooterChar"/>
    <w:uiPriority w:val="99"/>
    <w:unhideWhenUsed/>
    <w:rsid w:val="00B1729F"/>
    <w:pPr>
      <w:tabs>
        <w:tab w:val="center" w:pos="4680"/>
        <w:tab w:val="right" w:pos="9360"/>
      </w:tabs>
    </w:pPr>
  </w:style>
  <w:style w:type="character" w:customStyle="1" w:styleId="FooterChar">
    <w:name w:val="Footer Char"/>
    <w:basedOn w:val="DefaultParagraphFont"/>
    <w:link w:val="Footer"/>
    <w:uiPriority w:val="99"/>
    <w:rsid w:val="00B1729F"/>
  </w:style>
  <w:style w:type="paragraph" w:customStyle="1" w:styleId="gmail-msolistparagraph">
    <w:name w:val="gmail-msolistparagraph"/>
    <w:basedOn w:val="Normal"/>
    <w:rsid w:val="00454E65"/>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2B62"/>
    <w:rPr>
      <w:rFonts w:ascii="Tahoma" w:hAnsi="Tahoma" w:cs="Tahoma"/>
      <w:sz w:val="16"/>
      <w:szCs w:val="16"/>
    </w:rPr>
  </w:style>
  <w:style w:type="character" w:customStyle="1" w:styleId="BalloonTextChar">
    <w:name w:val="Balloon Text Char"/>
    <w:basedOn w:val="DefaultParagraphFont"/>
    <w:link w:val="BalloonText"/>
    <w:uiPriority w:val="99"/>
    <w:semiHidden/>
    <w:rsid w:val="003C2B62"/>
    <w:rPr>
      <w:rFonts w:ascii="Tahoma" w:hAnsi="Tahoma" w:cs="Tahoma"/>
      <w:sz w:val="16"/>
      <w:szCs w:val="16"/>
    </w:rPr>
  </w:style>
  <w:style w:type="paragraph" w:styleId="ListParagraph">
    <w:name w:val="List Paragraph"/>
    <w:basedOn w:val="Normal"/>
    <w:uiPriority w:val="34"/>
    <w:qFormat/>
    <w:rsid w:val="006F4928"/>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5763">
      <w:bodyDiv w:val="1"/>
      <w:marLeft w:val="0"/>
      <w:marRight w:val="0"/>
      <w:marTop w:val="0"/>
      <w:marBottom w:val="0"/>
      <w:divBdr>
        <w:top w:val="none" w:sz="0" w:space="0" w:color="auto"/>
        <w:left w:val="none" w:sz="0" w:space="0" w:color="auto"/>
        <w:bottom w:val="none" w:sz="0" w:space="0" w:color="auto"/>
        <w:right w:val="none" w:sz="0" w:space="0" w:color="auto"/>
      </w:divBdr>
    </w:div>
    <w:div w:id="247927252">
      <w:bodyDiv w:val="1"/>
      <w:marLeft w:val="0"/>
      <w:marRight w:val="0"/>
      <w:marTop w:val="0"/>
      <w:marBottom w:val="0"/>
      <w:divBdr>
        <w:top w:val="none" w:sz="0" w:space="0" w:color="auto"/>
        <w:left w:val="none" w:sz="0" w:space="0" w:color="auto"/>
        <w:bottom w:val="none" w:sz="0" w:space="0" w:color="auto"/>
        <w:right w:val="none" w:sz="0" w:space="0" w:color="auto"/>
      </w:divBdr>
    </w:div>
    <w:div w:id="263651560">
      <w:bodyDiv w:val="1"/>
      <w:marLeft w:val="0"/>
      <w:marRight w:val="0"/>
      <w:marTop w:val="0"/>
      <w:marBottom w:val="0"/>
      <w:divBdr>
        <w:top w:val="none" w:sz="0" w:space="0" w:color="auto"/>
        <w:left w:val="none" w:sz="0" w:space="0" w:color="auto"/>
        <w:bottom w:val="none" w:sz="0" w:space="0" w:color="auto"/>
        <w:right w:val="none" w:sz="0" w:space="0" w:color="auto"/>
      </w:divBdr>
    </w:div>
    <w:div w:id="317659722">
      <w:bodyDiv w:val="1"/>
      <w:marLeft w:val="0"/>
      <w:marRight w:val="0"/>
      <w:marTop w:val="0"/>
      <w:marBottom w:val="0"/>
      <w:divBdr>
        <w:top w:val="none" w:sz="0" w:space="0" w:color="auto"/>
        <w:left w:val="none" w:sz="0" w:space="0" w:color="auto"/>
        <w:bottom w:val="none" w:sz="0" w:space="0" w:color="auto"/>
        <w:right w:val="none" w:sz="0" w:space="0" w:color="auto"/>
      </w:divBdr>
    </w:div>
    <w:div w:id="650182657">
      <w:bodyDiv w:val="1"/>
      <w:marLeft w:val="0"/>
      <w:marRight w:val="0"/>
      <w:marTop w:val="0"/>
      <w:marBottom w:val="0"/>
      <w:divBdr>
        <w:top w:val="none" w:sz="0" w:space="0" w:color="auto"/>
        <w:left w:val="none" w:sz="0" w:space="0" w:color="auto"/>
        <w:bottom w:val="none" w:sz="0" w:space="0" w:color="auto"/>
        <w:right w:val="none" w:sz="0" w:space="0" w:color="auto"/>
      </w:divBdr>
      <w:divsChild>
        <w:div w:id="1480227009">
          <w:marLeft w:val="0"/>
          <w:marRight w:val="0"/>
          <w:marTop w:val="0"/>
          <w:marBottom w:val="0"/>
          <w:divBdr>
            <w:top w:val="none" w:sz="0" w:space="0" w:color="auto"/>
            <w:left w:val="none" w:sz="0" w:space="0" w:color="auto"/>
            <w:bottom w:val="none" w:sz="0" w:space="0" w:color="auto"/>
            <w:right w:val="none" w:sz="0" w:space="0" w:color="auto"/>
          </w:divBdr>
          <w:divsChild>
            <w:div w:id="3479175">
              <w:marLeft w:val="0"/>
              <w:marRight w:val="0"/>
              <w:marTop w:val="0"/>
              <w:marBottom w:val="0"/>
              <w:divBdr>
                <w:top w:val="none" w:sz="0" w:space="0" w:color="auto"/>
                <w:left w:val="none" w:sz="0" w:space="0" w:color="auto"/>
                <w:bottom w:val="none" w:sz="0" w:space="0" w:color="auto"/>
                <w:right w:val="none" w:sz="0" w:space="0" w:color="auto"/>
              </w:divBdr>
              <w:divsChild>
                <w:div w:id="721294394">
                  <w:marLeft w:val="0"/>
                  <w:marRight w:val="0"/>
                  <w:marTop w:val="0"/>
                  <w:marBottom w:val="0"/>
                  <w:divBdr>
                    <w:top w:val="none" w:sz="0" w:space="0" w:color="auto"/>
                    <w:left w:val="none" w:sz="0" w:space="0" w:color="auto"/>
                    <w:bottom w:val="none" w:sz="0" w:space="0" w:color="auto"/>
                    <w:right w:val="none" w:sz="0" w:space="0" w:color="auto"/>
                  </w:divBdr>
                  <w:divsChild>
                    <w:div w:id="935479659">
                      <w:marLeft w:val="0"/>
                      <w:marRight w:val="0"/>
                      <w:marTop w:val="3"/>
                      <w:marBottom w:val="0"/>
                      <w:divBdr>
                        <w:top w:val="none" w:sz="0" w:space="0" w:color="auto"/>
                        <w:left w:val="none" w:sz="0" w:space="0" w:color="auto"/>
                        <w:bottom w:val="none" w:sz="0" w:space="0" w:color="auto"/>
                        <w:right w:val="none" w:sz="0" w:space="0" w:color="auto"/>
                      </w:divBdr>
                      <w:divsChild>
                        <w:div w:id="1225606497">
                          <w:marLeft w:val="-225"/>
                          <w:marRight w:val="-225"/>
                          <w:marTop w:val="0"/>
                          <w:marBottom w:val="0"/>
                          <w:divBdr>
                            <w:top w:val="none" w:sz="0" w:space="0" w:color="auto"/>
                            <w:left w:val="none" w:sz="0" w:space="0" w:color="auto"/>
                            <w:bottom w:val="none" w:sz="0" w:space="0" w:color="auto"/>
                            <w:right w:val="none" w:sz="0" w:space="0" w:color="auto"/>
                          </w:divBdr>
                          <w:divsChild>
                            <w:div w:id="366495134">
                              <w:marLeft w:val="0"/>
                              <w:marRight w:val="0"/>
                              <w:marTop w:val="0"/>
                              <w:marBottom w:val="0"/>
                              <w:divBdr>
                                <w:top w:val="none" w:sz="0" w:space="0" w:color="auto"/>
                                <w:left w:val="none" w:sz="0" w:space="0" w:color="auto"/>
                                <w:bottom w:val="none" w:sz="0" w:space="0" w:color="auto"/>
                                <w:right w:val="none" w:sz="0" w:space="0" w:color="auto"/>
                              </w:divBdr>
                              <w:divsChild>
                                <w:div w:id="497772829">
                                  <w:marLeft w:val="0"/>
                                  <w:marRight w:val="0"/>
                                  <w:marTop w:val="0"/>
                                  <w:marBottom w:val="0"/>
                                  <w:divBdr>
                                    <w:top w:val="none" w:sz="0" w:space="0" w:color="auto"/>
                                    <w:left w:val="none" w:sz="0" w:space="0" w:color="auto"/>
                                    <w:bottom w:val="none" w:sz="0" w:space="0" w:color="auto"/>
                                    <w:right w:val="none" w:sz="0" w:space="0" w:color="auto"/>
                                  </w:divBdr>
                                  <w:divsChild>
                                    <w:div w:id="1816070005">
                                      <w:marLeft w:val="0"/>
                                      <w:marRight w:val="0"/>
                                      <w:marTop w:val="0"/>
                                      <w:marBottom w:val="0"/>
                                      <w:divBdr>
                                        <w:top w:val="none" w:sz="0" w:space="0" w:color="auto"/>
                                        <w:left w:val="none" w:sz="0" w:space="0" w:color="auto"/>
                                        <w:bottom w:val="none" w:sz="0" w:space="0" w:color="auto"/>
                                        <w:right w:val="none" w:sz="0" w:space="0" w:color="auto"/>
                                      </w:divBdr>
                                      <w:divsChild>
                                        <w:div w:id="1212688977">
                                          <w:marLeft w:val="0"/>
                                          <w:marRight w:val="0"/>
                                          <w:marTop w:val="0"/>
                                          <w:marBottom w:val="0"/>
                                          <w:divBdr>
                                            <w:top w:val="none" w:sz="0" w:space="0" w:color="auto"/>
                                            <w:left w:val="none" w:sz="0" w:space="0" w:color="auto"/>
                                            <w:bottom w:val="none" w:sz="0" w:space="0" w:color="auto"/>
                                            <w:right w:val="none" w:sz="0" w:space="0" w:color="auto"/>
                                          </w:divBdr>
                                          <w:divsChild>
                                            <w:div w:id="1725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227528">
      <w:bodyDiv w:val="1"/>
      <w:marLeft w:val="0"/>
      <w:marRight w:val="0"/>
      <w:marTop w:val="0"/>
      <w:marBottom w:val="0"/>
      <w:divBdr>
        <w:top w:val="none" w:sz="0" w:space="0" w:color="auto"/>
        <w:left w:val="none" w:sz="0" w:space="0" w:color="auto"/>
        <w:bottom w:val="none" w:sz="0" w:space="0" w:color="auto"/>
        <w:right w:val="none" w:sz="0" w:space="0" w:color="auto"/>
      </w:divBdr>
    </w:div>
    <w:div w:id="907299129">
      <w:bodyDiv w:val="1"/>
      <w:marLeft w:val="0"/>
      <w:marRight w:val="0"/>
      <w:marTop w:val="0"/>
      <w:marBottom w:val="0"/>
      <w:divBdr>
        <w:top w:val="none" w:sz="0" w:space="0" w:color="auto"/>
        <w:left w:val="none" w:sz="0" w:space="0" w:color="auto"/>
        <w:bottom w:val="none" w:sz="0" w:space="0" w:color="auto"/>
        <w:right w:val="none" w:sz="0" w:space="0" w:color="auto"/>
      </w:divBdr>
    </w:div>
    <w:div w:id="1065757872">
      <w:bodyDiv w:val="1"/>
      <w:marLeft w:val="0"/>
      <w:marRight w:val="0"/>
      <w:marTop w:val="0"/>
      <w:marBottom w:val="0"/>
      <w:divBdr>
        <w:top w:val="none" w:sz="0" w:space="0" w:color="auto"/>
        <w:left w:val="none" w:sz="0" w:space="0" w:color="auto"/>
        <w:bottom w:val="none" w:sz="0" w:space="0" w:color="auto"/>
        <w:right w:val="none" w:sz="0" w:space="0" w:color="auto"/>
      </w:divBdr>
    </w:div>
    <w:div w:id="1443187018">
      <w:bodyDiv w:val="1"/>
      <w:marLeft w:val="0"/>
      <w:marRight w:val="0"/>
      <w:marTop w:val="0"/>
      <w:marBottom w:val="0"/>
      <w:divBdr>
        <w:top w:val="none" w:sz="0" w:space="0" w:color="auto"/>
        <w:left w:val="none" w:sz="0" w:space="0" w:color="auto"/>
        <w:bottom w:val="none" w:sz="0" w:space="0" w:color="auto"/>
        <w:right w:val="none" w:sz="0" w:space="0" w:color="auto"/>
      </w:divBdr>
    </w:div>
    <w:div w:id="1446118714">
      <w:bodyDiv w:val="1"/>
      <w:marLeft w:val="0"/>
      <w:marRight w:val="0"/>
      <w:marTop w:val="0"/>
      <w:marBottom w:val="0"/>
      <w:divBdr>
        <w:top w:val="none" w:sz="0" w:space="0" w:color="auto"/>
        <w:left w:val="none" w:sz="0" w:space="0" w:color="auto"/>
        <w:bottom w:val="none" w:sz="0" w:space="0" w:color="auto"/>
        <w:right w:val="none" w:sz="0" w:space="0" w:color="auto"/>
      </w:divBdr>
    </w:div>
    <w:div w:id="1462502995">
      <w:bodyDiv w:val="1"/>
      <w:marLeft w:val="0"/>
      <w:marRight w:val="0"/>
      <w:marTop w:val="0"/>
      <w:marBottom w:val="0"/>
      <w:divBdr>
        <w:top w:val="none" w:sz="0" w:space="0" w:color="auto"/>
        <w:left w:val="none" w:sz="0" w:space="0" w:color="auto"/>
        <w:bottom w:val="none" w:sz="0" w:space="0" w:color="auto"/>
        <w:right w:val="none" w:sz="0" w:space="0" w:color="auto"/>
      </w:divBdr>
    </w:div>
    <w:div w:id="1632056977">
      <w:bodyDiv w:val="1"/>
      <w:marLeft w:val="0"/>
      <w:marRight w:val="0"/>
      <w:marTop w:val="0"/>
      <w:marBottom w:val="0"/>
      <w:divBdr>
        <w:top w:val="none" w:sz="0" w:space="0" w:color="auto"/>
        <w:left w:val="none" w:sz="0" w:space="0" w:color="auto"/>
        <w:bottom w:val="none" w:sz="0" w:space="0" w:color="auto"/>
        <w:right w:val="none" w:sz="0" w:space="0" w:color="auto"/>
      </w:divBdr>
    </w:div>
    <w:div w:id="1735008203">
      <w:bodyDiv w:val="1"/>
      <w:marLeft w:val="0"/>
      <w:marRight w:val="0"/>
      <w:marTop w:val="0"/>
      <w:marBottom w:val="0"/>
      <w:divBdr>
        <w:top w:val="none" w:sz="0" w:space="0" w:color="auto"/>
        <w:left w:val="none" w:sz="0" w:space="0" w:color="auto"/>
        <w:bottom w:val="none" w:sz="0" w:space="0" w:color="auto"/>
        <w:right w:val="none" w:sz="0" w:space="0" w:color="auto"/>
      </w:divBdr>
    </w:div>
    <w:div w:id="1755319097">
      <w:bodyDiv w:val="1"/>
      <w:marLeft w:val="0"/>
      <w:marRight w:val="0"/>
      <w:marTop w:val="0"/>
      <w:marBottom w:val="0"/>
      <w:divBdr>
        <w:top w:val="none" w:sz="0" w:space="0" w:color="auto"/>
        <w:left w:val="none" w:sz="0" w:space="0" w:color="auto"/>
        <w:bottom w:val="none" w:sz="0" w:space="0" w:color="auto"/>
        <w:right w:val="none" w:sz="0" w:space="0" w:color="auto"/>
      </w:divBdr>
    </w:div>
    <w:div w:id="1918781758">
      <w:bodyDiv w:val="1"/>
      <w:marLeft w:val="0"/>
      <w:marRight w:val="0"/>
      <w:marTop w:val="0"/>
      <w:marBottom w:val="0"/>
      <w:divBdr>
        <w:top w:val="none" w:sz="0" w:space="0" w:color="auto"/>
        <w:left w:val="none" w:sz="0" w:space="0" w:color="auto"/>
        <w:bottom w:val="none" w:sz="0" w:space="0" w:color="auto"/>
        <w:right w:val="none" w:sz="0" w:space="0" w:color="auto"/>
      </w:divBdr>
    </w:div>
    <w:div w:id="2012029173">
      <w:bodyDiv w:val="1"/>
      <w:marLeft w:val="0"/>
      <w:marRight w:val="0"/>
      <w:marTop w:val="0"/>
      <w:marBottom w:val="0"/>
      <w:divBdr>
        <w:top w:val="none" w:sz="0" w:space="0" w:color="auto"/>
        <w:left w:val="none" w:sz="0" w:space="0" w:color="auto"/>
        <w:bottom w:val="none" w:sz="0" w:space="0" w:color="auto"/>
        <w:right w:val="none" w:sz="0" w:space="0" w:color="auto"/>
      </w:divBdr>
    </w:div>
    <w:div w:id="2013990982">
      <w:bodyDiv w:val="1"/>
      <w:marLeft w:val="0"/>
      <w:marRight w:val="0"/>
      <w:marTop w:val="0"/>
      <w:marBottom w:val="0"/>
      <w:divBdr>
        <w:top w:val="none" w:sz="0" w:space="0" w:color="auto"/>
        <w:left w:val="none" w:sz="0" w:space="0" w:color="auto"/>
        <w:bottom w:val="none" w:sz="0" w:space="0" w:color="auto"/>
        <w:right w:val="none" w:sz="0" w:space="0" w:color="auto"/>
      </w:divBdr>
    </w:div>
    <w:div w:id="2073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rtiba.com/v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Pirnack, Julia</dc:creator>
  <cp:lastModifiedBy>Pirnack, Julia</cp:lastModifiedBy>
  <cp:revision>4</cp:revision>
  <cp:lastPrinted>2018-04-10T15:55:00Z</cp:lastPrinted>
  <dcterms:created xsi:type="dcterms:W3CDTF">2018-05-02T15:10:00Z</dcterms:created>
  <dcterms:modified xsi:type="dcterms:W3CDTF">2018-05-02T15:17:00Z</dcterms:modified>
</cp:coreProperties>
</file>