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011B" w14:textId="77777777" w:rsidR="00DB5109" w:rsidRDefault="00DB5109" w:rsidP="00DB5109">
      <w:pPr>
        <w:pStyle w:val="ListParagraph"/>
        <w:ind w:left="360"/>
        <w:jc w:val="both"/>
        <w:rPr>
          <w:rFonts w:asciiTheme="majorHAnsi" w:hAnsiTheme="majorHAnsi"/>
          <w:b/>
          <w:sz w:val="22"/>
          <w:szCs w:val="22"/>
        </w:rPr>
      </w:pPr>
    </w:p>
    <w:p w14:paraId="36BD2D7E" w14:textId="77777777" w:rsidR="001D6040" w:rsidRPr="001D6040" w:rsidRDefault="001D6040" w:rsidP="00DB5109">
      <w:pPr>
        <w:pStyle w:val="ListParagraph"/>
        <w:ind w:left="360"/>
        <w:jc w:val="both"/>
        <w:rPr>
          <w:rFonts w:asciiTheme="majorHAnsi" w:hAnsiTheme="majorHAnsi"/>
          <w:b/>
        </w:rPr>
      </w:pPr>
    </w:p>
    <w:p w14:paraId="7666E372" w14:textId="77777777" w:rsidR="001D6040" w:rsidRPr="001D6040" w:rsidRDefault="001D6040" w:rsidP="001D6040">
      <w:pPr>
        <w:jc w:val="center"/>
        <w:rPr>
          <w:rFonts w:ascii="Calibri" w:hAnsi="Calibri"/>
        </w:rPr>
      </w:pPr>
      <w:r w:rsidRPr="001D6040">
        <w:rPr>
          <w:rFonts w:ascii="Calibri" w:hAnsi="Calibri"/>
        </w:rPr>
        <w:t>In 2009, the California Legislature passed Assembly Bill 167, which allowed foster children to graduate high school by only completing state graduation requirements if they transferred schools in the 11th or 12th grade and could not reasonably complete local graduation requirements. AB 167 was seen as a solution to the high drop out rates of foster youth who repeatedly transferred schools and struggled to earn the credits needed to graduate.  Assembly Bill 216 attempts to clarify components of AB 167 to ensure more consistent implementation.</w:t>
      </w:r>
    </w:p>
    <w:p w14:paraId="31001700" w14:textId="77777777" w:rsidR="001D6040" w:rsidRPr="00DB5109" w:rsidRDefault="001D6040" w:rsidP="00DB5109">
      <w:pPr>
        <w:pStyle w:val="ListParagraph"/>
        <w:ind w:left="360"/>
        <w:jc w:val="both"/>
        <w:rPr>
          <w:rFonts w:asciiTheme="majorHAnsi" w:hAnsiTheme="majorHAnsi"/>
          <w:b/>
          <w:sz w:val="22"/>
          <w:szCs w:val="22"/>
        </w:rPr>
      </w:pPr>
      <w:bookmarkStart w:id="0" w:name="_GoBack"/>
      <w:bookmarkEnd w:id="0"/>
    </w:p>
    <w:tbl>
      <w:tblPr>
        <w:tblStyle w:val="TableGrid"/>
        <w:tblW w:w="14310" w:type="dxa"/>
        <w:tblInd w:w="-252" w:type="dxa"/>
        <w:tblLook w:val="04A0" w:firstRow="1" w:lastRow="0" w:firstColumn="1" w:lastColumn="0" w:noHBand="0" w:noVBand="1"/>
      </w:tblPr>
      <w:tblGrid>
        <w:gridCol w:w="3870"/>
        <w:gridCol w:w="10440"/>
      </w:tblGrid>
      <w:tr w:rsidR="00FC7B29" w:rsidRPr="00F10AAC" w14:paraId="0F5FF184" w14:textId="77777777" w:rsidTr="0073274A">
        <w:tc>
          <w:tcPr>
            <w:tcW w:w="3870" w:type="dxa"/>
            <w:shd w:val="clear" w:color="auto" w:fill="D9D9D9" w:themeFill="background1" w:themeFillShade="D9"/>
          </w:tcPr>
          <w:p w14:paraId="3AC49D66" w14:textId="77777777" w:rsidR="00FC7B29" w:rsidRPr="00F10AAC" w:rsidRDefault="00FC7B29" w:rsidP="00915E26">
            <w:pPr>
              <w:jc w:val="center"/>
              <w:rPr>
                <w:rFonts w:ascii="Calibri" w:hAnsi="Calibri"/>
                <w:b/>
                <w:sz w:val="18"/>
                <w:szCs w:val="18"/>
              </w:rPr>
            </w:pPr>
            <w:r w:rsidRPr="00F10AAC">
              <w:rPr>
                <w:rFonts w:ascii="Calibri" w:hAnsi="Calibri"/>
                <w:b/>
                <w:sz w:val="18"/>
                <w:szCs w:val="18"/>
              </w:rPr>
              <w:t>Under AB 167</w:t>
            </w:r>
          </w:p>
        </w:tc>
        <w:tc>
          <w:tcPr>
            <w:tcW w:w="10440" w:type="dxa"/>
            <w:shd w:val="clear" w:color="auto" w:fill="D9D9D9" w:themeFill="background1" w:themeFillShade="D9"/>
          </w:tcPr>
          <w:p w14:paraId="23D722D4" w14:textId="77777777" w:rsidR="00FC7B29" w:rsidRPr="00F10AAC" w:rsidRDefault="00FC7B29" w:rsidP="00915E26">
            <w:pPr>
              <w:jc w:val="center"/>
              <w:rPr>
                <w:rFonts w:ascii="Calibri" w:hAnsi="Calibri"/>
                <w:b/>
                <w:sz w:val="18"/>
                <w:szCs w:val="18"/>
              </w:rPr>
            </w:pPr>
            <w:r w:rsidRPr="00F10AAC">
              <w:rPr>
                <w:rFonts w:ascii="Calibri" w:hAnsi="Calibri"/>
                <w:b/>
                <w:sz w:val="18"/>
                <w:szCs w:val="18"/>
              </w:rPr>
              <w:t>AB 216’s Clarification</w:t>
            </w:r>
          </w:p>
        </w:tc>
      </w:tr>
      <w:tr w:rsidR="00FC7B29" w:rsidRPr="00F10AAC" w14:paraId="4DBC9C14" w14:textId="77777777" w:rsidTr="0027640C">
        <w:tc>
          <w:tcPr>
            <w:tcW w:w="14310" w:type="dxa"/>
            <w:gridSpan w:val="2"/>
            <w:shd w:val="clear" w:color="auto" w:fill="F79646"/>
          </w:tcPr>
          <w:p w14:paraId="17F9303F" w14:textId="0C664B3E" w:rsidR="00FC7B29" w:rsidRPr="00F10AAC" w:rsidRDefault="00915E26" w:rsidP="00915E26">
            <w:pPr>
              <w:jc w:val="center"/>
              <w:rPr>
                <w:rFonts w:ascii="Calibri" w:hAnsi="Calibri"/>
                <w:b/>
                <w:sz w:val="18"/>
                <w:szCs w:val="18"/>
              </w:rPr>
            </w:pPr>
            <w:r w:rsidRPr="00915E26">
              <w:rPr>
                <w:rFonts w:ascii="Calibri" w:hAnsi="Calibri"/>
                <w:i/>
                <w:color w:val="FFFFFF" w:themeColor="background1"/>
                <w:sz w:val="18"/>
                <w:szCs w:val="18"/>
              </w:rPr>
              <w:t>When may a student first qualify to graduate under AB 167?</w:t>
            </w:r>
          </w:p>
        </w:tc>
      </w:tr>
      <w:tr w:rsidR="00FC7B29" w:rsidRPr="00F10AAC" w14:paraId="67436656" w14:textId="77777777" w:rsidTr="0073274A">
        <w:tc>
          <w:tcPr>
            <w:tcW w:w="3870" w:type="dxa"/>
            <w:shd w:val="clear" w:color="auto" w:fill="F2F2F2" w:themeFill="background1" w:themeFillShade="F2"/>
          </w:tcPr>
          <w:p w14:paraId="57BC9823" w14:textId="6842A292" w:rsidR="00FC7B29" w:rsidRPr="00F10AAC" w:rsidRDefault="00915E26" w:rsidP="00915E26">
            <w:pPr>
              <w:jc w:val="both"/>
              <w:rPr>
                <w:rFonts w:ascii="Calibri" w:hAnsi="Calibri"/>
                <w:b/>
                <w:sz w:val="18"/>
                <w:szCs w:val="18"/>
              </w:rPr>
            </w:pPr>
            <w:r>
              <w:rPr>
                <w:rFonts w:ascii="Calibri" w:hAnsi="Calibri"/>
                <w:sz w:val="18"/>
                <w:szCs w:val="18"/>
              </w:rPr>
              <w:t>Students who transfer at anytime during the 11th or 12th grade</w:t>
            </w:r>
          </w:p>
        </w:tc>
        <w:tc>
          <w:tcPr>
            <w:tcW w:w="10440" w:type="dxa"/>
            <w:shd w:val="clear" w:color="auto" w:fill="F2F2F2" w:themeFill="background1" w:themeFillShade="F2"/>
          </w:tcPr>
          <w:p w14:paraId="13D180B5" w14:textId="3D0288B0" w:rsidR="00FC7B29" w:rsidRPr="00F10AAC" w:rsidRDefault="00915E26" w:rsidP="00915E26">
            <w:pPr>
              <w:jc w:val="both"/>
              <w:rPr>
                <w:rFonts w:ascii="Calibri" w:hAnsi="Calibri"/>
                <w:b/>
                <w:sz w:val="18"/>
                <w:szCs w:val="18"/>
              </w:rPr>
            </w:pPr>
            <w:r>
              <w:rPr>
                <w:rFonts w:ascii="Calibri" w:hAnsi="Calibri"/>
                <w:sz w:val="18"/>
                <w:szCs w:val="18"/>
              </w:rPr>
              <w:t>S</w:t>
            </w:r>
            <w:r w:rsidRPr="00F10AAC">
              <w:rPr>
                <w:rFonts w:ascii="Calibri" w:hAnsi="Calibri"/>
                <w:sz w:val="18"/>
                <w:szCs w:val="18"/>
              </w:rPr>
              <w:t>tudents who transfer after completing th</w:t>
            </w:r>
            <w:r>
              <w:rPr>
                <w:rFonts w:ascii="Calibri" w:hAnsi="Calibri"/>
                <w:sz w:val="18"/>
                <w:szCs w:val="18"/>
              </w:rPr>
              <w:t>eir second year of high school, using</w:t>
            </w:r>
            <w:r w:rsidRPr="00F10AAC">
              <w:rPr>
                <w:rFonts w:ascii="Calibri" w:hAnsi="Calibri"/>
                <w:sz w:val="18"/>
                <w:szCs w:val="18"/>
              </w:rPr>
              <w:t xml:space="preserve"> </w:t>
            </w:r>
            <w:r>
              <w:rPr>
                <w:rFonts w:ascii="Calibri" w:hAnsi="Calibri"/>
                <w:sz w:val="18"/>
                <w:szCs w:val="18"/>
              </w:rPr>
              <w:t>either the</w:t>
            </w:r>
            <w:r w:rsidRPr="00F10AAC">
              <w:rPr>
                <w:rFonts w:ascii="Calibri" w:hAnsi="Calibri"/>
                <w:sz w:val="18"/>
                <w:szCs w:val="18"/>
              </w:rPr>
              <w:t xml:space="preserve"> number of credits earned or length of time of enrollment, whichever </w:t>
            </w:r>
            <w:r>
              <w:rPr>
                <w:rFonts w:ascii="Calibri" w:hAnsi="Calibri"/>
                <w:sz w:val="18"/>
                <w:szCs w:val="18"/>
              </w:rPr>
              <w:t>will make a student eligible</w:t>
            </w:r>
            <w:r w:rsidRPr="00F10AAC">
              <w:rPr>
                <w:rFonts w:ascii="Calibri" w:hAnsi="Calibri"/>
                <w:sz w:val="18"/>
                <w:szCs w:val="18"/>
              </w:rPr>
              <w:t>.</w:t>
            </w:r>
          </w:p>
        </w:tc>
      </w:tr>
      <w:tr w:rsidR="00FC7B29" w:rsidRPr="00F10AAC" w14:paraId="364BEF51" w14:textId="77777777" w:rsidTr="0027640C">
        <w:tc>
          <w:tcPr>
            <w:tcW w:w="14310" w:type="dxa"/>
            <w:gridSpan w:val="2"/>
            <w:shd w:val="clear" w:color="auto" w:fill="F79646"/>
          </w:tcPr>
          <w:p w14:paraId="1FB9CF21" w14:textId="7777777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How long does a student have to complete the local graduation requirements?</w:t>
            </w:r>
          </w:p>
        </w:tc>
      </w:tr>
      <w:tr w:rsidR="00FC7B29" w:rsidRPr="00F10AAC" w14:paraId="12C5FBC5" w14:textId="77777777" w:rsidTr="0073274A">
        <w:tc>
          <w:tcPr>
            <w:tcW w:w="3870" w:type="dxa"/>
            <w:shd w:val="clear" w:color="auto" w:fill="F2F2F2" w:themeFill="background1" w:themeFillShade="F2"/>
          </w:tcPr>
          <w:p w14:paraId="1A28D776" w14:textId="6D151790" w:rsidR="00FC7B29" w:rsidRPr="00F10AAC" w:rsidRDefault="00915E26" w:rsidP="00915E26">
            <w:pPr>
              <w:jc w:val="both"/>
              <w:rPr>
                <w:rFonts w:ascii="Calibri" w:hAnsi="Calibri"/>
                <w:b/>
                <w:sz w:val="18"/>
                <w:szCs w:val="18"/>
              </w:rPr>
            </w:pPr>
            <w:r w:rsidRPr="00F10AAC">
              <w:rPr>
                <w:rFonts w:ascii="Calibri" w:hAnsi="Calibri"/>
                <w:sz w:val="18"/>
                <w:szCs w:val="18"/>
              </w:rPr>
              <w:t>The time</w:t>
            </w:r>
            <w:r>
              <w:rPr>
                <w:rFonts w:ascii="Calibri" w:hAnsi="Calibri"/>
                <w:sz w:val="18"/>
                <w:szCs w:val="18"/>
              </w:rPr>
              <w:t xml:space="preserve"> </w:t>
            </w:r>
            <w:r w:rsidRPr="00F10AAC">
              <w:rPr>
                <w:rFonts w:ascii="Calibri" w:hAnsi="Calibri"/>
                <w:sz w:val="18"/>
                <w:szCs w:val="18"/>
              </w:rPr>
              <w:t>frame was undefined.</w:t>
            </w:r>
          </w:p>
        </w:tc>
        <w:tc>
          <w:tcPr>
            <w:tcW w:w="10440" w:type="dxa"/>
            <w:shd w:val="clear" w:color="auto" w:fill="F2F2F2" w:themeFill="background1" w:themeFillShade="F2"/>
          </w:tcPr>
          <w:p w14:paraId="2BDE85F6" w14:textId="256B490C" w:rsidR="00FC7B29" w:rsidRPr="00F10AAC" w:rsidRDefault="00915E26" w:rsidP="00915E26">
            <w:pPr>
              <w:jc w:val="both"/>
              <w:rPr>
                <w:rFonts w:ascii="Calibri" w:hAnsi="Calibri"/>
                <w:b/>
                <w:sz w:val="18"/>
                <w:szCs w:val="18"/>
              </w:rPr>
            </w:pPr>
            <w:r w:rsidRPr="00F10AAC">
              <w:rPr>
                <w:rFonts w:ascii="Calibri" w:hAnsi="Calibri"/>
                <w:sz w:val="18"/>
                <w:szCs w:val="18"/>
              </w:rPr>
              <w:t>Students are eligible</w:t>
            </w:r>
            <w:r>
              <w:rPr>
                <w:rFonts w:ascii="Calibri" w:hAnsi="Calibri"/>
                <w:sz w:val="18"/>
                <w:szCs w:val="18"/>
              </w:rPr>
              <w:t xml:space="preserve"> </w:t>
            </w:r>
            <w:r w:rsidRPr="00F10AAC">
              <w:rPr>
                <w:rFonts w:ascii="Calibri" w:hAnsi="Calibri"/>
                <w:sz w:val="18"/>
                <w:szCs w:val="18"/>
              </w:rPr>
              <w:t xml:space="preserve">if they </w:t>
            </w:r>
            <w:r>
              <w:rPr>
                <w:rFonts w:ascii="Calibri" w:hAnsi="Calibri"/>
                <w:sz w:val="18"/>
                <w:szCs w:val="18"/>
              </w:rPr>
              <w:t>are not</w:t>
            </w:r>
            <w:r w:rsidRPr="00F10AAC">
              <w:rPr>
                <w:rFonts w:ascii="Calibri" w:hAnsi="Calibri"/>
                <w:sz w:val="18"/>
                <w:szCs w:val="18"/>
              </w:rPr>
              <w:t xml:space="preserve"> reasonably able to complete local graduation requirements by </w:t>
            </w:r>
            <w:r>
              <w:rPr>
                <w:rFonts w:ascii="Calibri" w:hAnsi="Calibri"/>
                <w:sz w:val="18"/>
                <w:szCs w:val="18"/>
              </w:rPr>
              <w:t xml:space="preserve">the </w:t>
            </w:r>
            <w:r w:rsidRPr="00F10AAC">
              <w:rPr>
                <w:rFonts w:ascii="Calibri" w:hAnsi="Calibri"/>
                <w:sz w:val="18"/>
                <w:szCs w:val="18"/>
              </w:rPr>
              <w:t>end of the</w:t>
            </w:r>
            <w:r>
              <w:rPr>
                <w:rFonts w:ascii="Calibri" w:hAnsi="Calibri"/>
                <w:sz w:val="18"/>
                <w:szCs w:val="18"/>
              </w:rPr>
              <w:t>ir</w:t>
            </w:r>
            <w:r w:rsidRPr="00F10AAC">
              <w:rPr>
                <w:rFonts w:ascii="Calibri" w:hAnsi="Calibri"/>
                <w:sz w:val="18"/>
                <w:szCs w:val="18"/>
              </w:rPr>
              <w:t xml:space="preserve"> 4th year of high school. </w:t>
            </w:r>
            <w:r>
              <w:rPr>
                <w:rFonts w:ascii="Calibri" w:hAnsi="Calibri"/>
                <w:sz w:val="18"/>
                <w:szCs w:val="18"/>
              </w:rPr>
              <w:t>S</w:t>
            </w:r>
            <w:r w:rsidRPr="00F10AAC">
              <w:rPr>
                <w:rFonts w:ascii="Calibri" w:hAnsi="Calibri"/>
                <w:sz w:val="18"/>
                <w:szCs w:val="18"/>
              </w:rPr>
              <w:t>tudents have a right to remain in high school for a 5th year if they can complete the local graduation requirements.</w:t>
            </w:r>
          </w:p>
        </w:tc>
      </w:tr>
      <w:tr w:rsidR="00FC7B29" w:rsidRPr="00F10AAC" w14:paraId="6E4275A2" w14:textId="77777777" w:rsidTr="0027640C">
        <w:tc>
          <w:tcPr>
            <w:tcW w:w="14310" w:type="dxa"/>
            <w:gridSpan w:val="2"/>
            <w:shd w:val="clear" w:color="auto" w:fill="F79646"/>
          </w:tcPr>
          <w:p w14:paraId="50588065" w14:textId="79354B9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 xml:space="preserve">What kind of notifications do schools have to provide if a student is found eligible </w:t>
            </w:r>
            <w:r w:rsidR="00915E26">
              <w:rPr>
                <w:rFonts w:ascii="Calibri" w:hAnsi="Calibri"/>
                <w:i/>
                <w:color w:val="FFFFFF" w:themeColor="background1"/>
                <w:sz w:val="18"/>
                <w:szCs w:val="18"/>
              </w:rPr>
              <w:t>for AB 167</w:t>
            </w:r>
            <w:r w:rsidRPr="0027640C">
              <w:rPr>
                <w:rFonts w:ascii="Calibri" w:hAnsi="Calibri"/>
                <w:i/>
                <w:color w:val="FFFFFF" w:themeColor="background1"/>
                <w:sz w:val="18"/>
                <w:szCs w:val="18"/>
              </w:rPr>
              <w:t>?</w:t>
            </w:r>
          </w:p>
        </w:tc>
      </w:tr>
      <w:tr w:rsidR="00FC7B29" w:rsidRPr="00F10AAC" w14:paraId="368125FD" w14:textId="77777777" w:rsidTr="0073274A">
        <w:tc>
          <w:tcPr>
            <w:tcW w:w="3870" w:type="dxa"/>
            <w:shd w:val="clear" w:color="auto" w:fill="F2F2F2" w:themeFill="background1" w:themeFillShade="F2"/>
          </w:tcPr>
          <w:p w14:paraId="384F5AFA" w14:textId="77777777" w:rsidR="00915E26" w:rsidRPr="00055ADA" w:rsidRDefault="00915E26" w:rsidP="00915E26">
            <w:pPr>
              <w:pStyle w:val="ListParagraph"/>
              <w:numPr>
                <w:ilvl w:val="0"/>
                <w:numId w:val="8"/>
              </w:numPr>
              <w:jc w:val="both"/>
              <w:rPr>
                <w:rFonts w:ascii="Calibri" w:hAnsi="Calibri"/>
                <w:b/>
                <w:sz w:val="18"/>
                <w:szCs w:val="18"/>
              </w:rPr>
            </w:pPr>
            <w:r>
              <w:rPr>
                <w:rFonts w:ascii="Calibri" w:hAnsi="Calibri"/>
                <w:sz w:val="18"/>
                <w:szCs w:val="18"/>
              </w:rPr>
              <w:t xml:space="preserve">Notification to student </w:t>
            </w:r>
            <w:r w:rsidRPr="00055ADA">
              <w:rPr>
                <w:rFonts w:ascii="Calibri" w:hAnsi="Calibri"/>
                <w:sz w:val="18"/>
                <w:szCs w:val="18"/>
              </w:rPr>
              <w:t xml:space="preserve">and education rights holder </w:t>
            </w:r>
            <w:r>
              <w:rPr>
                <w:rFonts w:ascii="Calibri" w:hAnsi="Calibri"/>
                <w:sz w:val="18"/>
                <w:szCs w:val="18"/>
              </w:rPr>
              <w:t>“as appropriate”</w:t>
            </w:r>
          </w:p>
          <w:p w14:paraId="79023920" w14:textId="77777777" w:rsidR="00915E26" w:rsidRPr="00915E26" w:rsidRDefault="00915E26" w:rsidP="00915E26">
            <w:pPr>
              <w:pStyle w:val="ListParagraph"/>
              <w:numPr>
                <w:ilvl w:val="0"/>
                <w:numId w:val="8"/>
              </w:numPr>
              <w:jc w:val="both"/>
              <w:rPr>
                <w:rFonts w:ascii="Calibri" w:hAnsi="Calibri"/>
                <w:b/>
                <w:sz w:val="18"/>
                <w:szCs w:val="18"/>
              </w:rPr>
            </w:pPr>
            <w:r>
              <w:rPr>
                <w:rFonts w:ascii="Calibri" w:hAnsi="Calibri"/>
                <w:sz w:val="18"/>
                <w:szCs w:val="18"/>
              </w:rPr>
              <w:t>No timeline requirement for notification</w:t>
            </w:r>
          </w:p>
          <w:p w14:paraId="06A7CAFB" w14:textId="655679C8" w:rsidR="00FC7B29" w:rsidRPr="00915E26" w:rsidRDefault="00915E26" w:rsidP="00915E26">
            <w:pPr>
              <w:pStyle w:val="ListParagraph"/>
              <w:numPr>
                <w:ilvl w:val="0"/>
                <w:numId w:val="8"/>
              </w:numPr>
              <w:jc w:val="both"/>
              <w:rPr>
                <w:rFonts w:ascii="Calibri" w:hAnsi="Calibri"/>
                <w:b/>
                <w:sz w:val="18"/>
                <w:szCs w:val="18"/>
              </w:rPr>
            </w:pPr>
            <w:r w:rsidRPr="00915E26">
              <w:rPr>
                <w:rFonts w:ascii="Calibri" w:hAnsi="Calibri"/>
                <w:sz w:val="18"/>
                <w:szCs w:val="18"/>
              </w:rPr>
              <w:t>Notification must include student’s eligibility and its potential impact on college admission</w:t>
            </w:r>
          </w:p>
        </w:tc>
        <w:tc>
          <w:tcPr>
            <w:tcW w:w="10440" w:type="dxa"/>
            <w:shd w:val="clear" w:color="auto" w:fill="F2F2F2" w:themeFill="background1" w:themeFillShade="F2"/>
          </w:tcPr>
          <w:p w14:paraId="4EDD9156" w14:textId="77777777" w:rsidR="00915E26" w:rsidRPr="00055ADA" w:rsidRDefault="00915E26" w:rsidP="00915E26">
            <w:pPr>
              <w:pStyle w:val="ListParagraph"/>
              <w:numPr>
                <w:ilvl w:val="0"/>
                <w:numId w:val="3"/>
              </w:numPr>
              <w:jc w:val="both"/>
              <w:rPr>
                <w:rFonts w:ascii="Calibri" w:hAnsi="Calibri"/>
                <w:b/>
                <w:sz w:val="18"/>
                <w:szCs w:val="18"/>
              </w:rPr>
            </w:pPr>
            <w:r w:rsidRPr="00F10AAC">
              <w:rPr>
                <w:rFonts w:ascii="Calibri" w:hAnsi="Calibri"/>
                <w:sz w:val="18"/>
                <w:szCs w:val="18"/>
              </w:rPr>
              <w:t>Notif</w:t>
            </w:r>
            <w:r>
              <w:rPr>
                <w:rFonts w:ascii="Calibri" w:hAnsi="Calibri"/>
                <w:sz w:val="18"/>
                <w:szCs w:val="18"/>
              </w:rPr>
              <w:t>ication to</w:t>
            </w:r>
            <w:r w:rsidRPr="00F10AAC">
              <w:rPr>
                <w:rFonts w:ascii="Calibri" w:hAnsi="Calibri"/>
                <w:sz w:val="18"/>
                <w:szCs w:val="18"/>
              </w:rPr>
              <w:t xml:space="preserve"> student, education rights holder, and social worker </w:t>
            </w:r>
          </w:p>
          <w:p w14:paraId="251D6C2E" w14:textId="77777777" w:rsidR="00915E26" w:rsidRPr="00F10AAC" w:rsidRDefault="00915E26" w:rsidP="00915E26">
            <w:pPr>
              <w:pStyle w:val="ListParagraph"/>
              <w:numPr>
                <w:ilvl w:val="0"/>
                <w:numId w:val="3"/>
              </w:numPr>
              <w:jc w:val="both"/>
              <w:rPr>
                <w:rFonts w:ascii="Calibri" w:hAnsi="Calibri"/>
                <w:b/>
                <w:sz w:val="18"/>
                <w:szCs w:val="18"/>
              </w:rPr>
            </w:pPr>
            <w:r>
              <w:rPr>
                <w:rFonts w:ascii="Calibri" w:hAnsi="Calibri"/>
                <w:sz w:val="18"/>
                <w:szCs w:val="18"/>
              </w:rPr>
              <w:t xml:space="preserve">Notification required </w:t>
            </w:r>
            <w:r w:rsidRPr="00F10AAC">
              <w:rPr>
                <w:rFonts w:ascii="Calibri" w:hAnsi="Calibri"/>
                <w:sz w:val="18"/>
                <w:szCs w:val="18"/>
              </w:rPr>
              <w:t xml:space="preserve">within 30 calendar days of transfer </w:t>
            </w:r>
          </w:p>
          <w:p w14:paraId="72AB73AA" w14:textId="74CBF5AD" w:rsidR="00FC7B29" w:rsidRPr="00F10AAC" w:rsidRDefault="00915E26" w:rsidP="00915E26">
            <w:pPr>
              <w:pStyle w:val="ListParagraph"/>
              <w:numPr>
                <w:ilvl w:val="0"/>
                <w:numId w:val="3"/>
              </w:numPr>
              <w:jc w:val="both"/>
              <w:rPr>
                <w:rFonts w:ascii="Calibri" w:hAnsi="Calibri"/>
                <w:b/>
                <w:sz w:val="18"/>
                <w:szCs w:val="18"/>
              </w:rPr>
            </w:pPr>
            <w:r>
              <w:rPr>
                <w:rFonts w:ascii="Calibri" w:hAnsi="Calibri"/>
                <w:sz w:val="18"/>
                <w:szCs w:val="18"/>
              </w:rPr>
              <w:t>Notification must include student’s eligibility, its potential impact on college admissions, and inform the student of their right to remain in school for a 5</w:t>
            </w:r>
            <w:r w:rsidRPr="00055ADA">
              <w:rPr>
                <w:rFonts w:ascii="Calibri" w:hAnsi="Calibri"/>
                <w:sz w:val="18"/>
                <w:szCs w:val="18"/>
                <w:vertAlign w:val="superscript"/>
              </w:rPr>
              <w:t>th</w:t>
            </w:r>
            <w:r>
              <w:rPr>
                <w:rFonts w:ascii="Calibri" w:hAnsi="Calibri"/>
                <w:sz w:val="18"/>
                <w:szCs w:val="18"/>
              </w:rPr>
              <w:t xml:space="preserve"> year to complete local graduation requirements if they want</w:t>
            </w:r>
          </w:p>
        </w:tc>
      </w:tr>
      <w:tr w:rsidR="00FC7B29" w:rsidRPr="00F10AAC" w14:paraId="40CE2341" w14:textId="77777777" w:rsidTr="0027640C">
        <w:tc>
          <w:tcPr>
            <w:tcW w:w="14310" w:type="dxa"/>
            <w:gridSpan w:val="2"/>
            <w:shd w:val="clear" w:color="auto" w:fill="F79646"/>
          </w:tcPr>
          <w:p w14:paraId="139B1DAD" w14:textId="031BC829" w:rsidR="00FC7B29" w:rsidRPr="00F10AAC" w:rsidRDefault="00915E26" w:rsidP="00915E26">
            <w:pPr>
              <w:jc w:val="center"/>
              <w:rPr>
                <w:rFonts w:ascii="Calibri" w:hAnsi="Calibri"/>
                <w:b/>
                <w:sz w:val="18"/>
                <w:szCs w:val="18"/>
              </w:rPr>
            </w:pPr>
            <w:r>
              <w:rPr>
                <w:rFonts w:ascii="Calibri" w:hAnsi="Calibri"/>
                <w:i/>
                <w:color w:val="FFFFFF" w:themeColor="background1"/>
                <w:sz w:val="18"/>
                <w:szCs w:val="18"/>
              </w:rPr>
              <w:t>Once a student is eligible to graduate under AB 167, who decides whether they should?</w:t>
            </w:r>
          </w:p>
        </w:tc>
      </w:tr>
      <w:tr w:rsidR="00FC7B29" w:rsidRPr="00F10AAC" w14:paraId="1A5D1EE2" w14:textId="77777777" w:rsidTr="0073274A">
        <w:trPr>
          <w:trHeight w:val="935"/>
        </w:trPr>
        <w:tc>
          <w:tcPr>
            <w:tcW w:w="3870" w:type="dxa"/>
            <w:shd w:val="clear" w:color="auto" w:fill="F2F2F2" w:themeFill="background1" w:themeFillShade="F2"/>
          </w:tcPr>
          <w:p w14:paraId="1C3A51B8" w14:textId="77777777" w:rsidR="00915E26" w:rsidRDefault="00915E26" w:rsidP="00915E26">
            <w:pPr>
              <w:jc w:val="both"/>
              <w:rPr>
                <w:rFonts w:ascii="Calibri" w:hAnsi="Calibri"/>
                <w:sz w:val="18"/>
                <w:szCs w:val="18"/>
              </w:rPr>
            </w:pPr>
            <w:r>
              <w:rPr>
                <w:rFonts w:ascii="Calibri" w:hAnsi="Calibri"/>
                <w:sz w:val="18"/>
                <w:szCs w:val="18"/>
              </w:rPr>
              <w:t xml:space="preserve">Decision making authority was unclear.  Schools were often making the decision, regardless of the student’s wishes. </w:t>
            </w:r>
          </w:p>
          <w:p w14:paraId="7BDAC4E5" w14:textId="41C0CB0C" w:rsidR="00FC7B29" w:rsidRPr="0027640C" w:rsidRDefault="00FC7B29" w:rsidP="00915E26">
            <w:pPr>
              <w:jc w:val="both"/>
              <w:rPr>
                <w:rFonts w:ascii="Calibri" w:hAnsi="Calibri"/>
                <w:sz w:val="18"/>
                <w:szCs w:val="18"/>
              </w:rPr>
            </w:pPr>
          </w:p>
        </w:tc>
        <w:tc>
          <w:tcPr>
            <w:tcW w:w="10440" w:type="dxa"/>
            <w:shd w:val="clear" w:color="auto" w:fill="F2F2F2" w:themeFill="background1" w:themeFillShade="F2"/>
          </w:tcPr>
          <w:p w14:paraId="03A2DF4C" w14:textId="75E898E0" w:rsidR="00FC7B29" w:rsidRPr="009A7A45" w:rsidRDefault="00915E26" w:rsidP="00915E26">
            <w:pPr>
              <w:jc w:val="both"/>
              <w:rPr>
                <w:rFonts w:ascii="Calibri" w:hAnsi="Calibri"/>
                <w:sz w:val="18"/>
                <w:szCs w:val="18"/>
              </w:rPr>
            </w:pPr>
            <w:r>
              <w:rPr>
                <w:rFonts w:ascii="Calibri" w:hAnsi="Calibri"/>
                <w:sz w:val="18"/>
                <w:szCs w:val="18"/>
              </w:rPr>
              <w:t xml:space="preserve">Authority to make this decision was given to the student’s education rights holder, or the student if they are 18 and hold their own education rights.  The education rights holder also decides whether the student will remain in high school for a 5th year to complete the local graduation requirements.  </w:t>
            </w:r>
          </w:p>
        </w:tc>
      </w:tr>
      <w:tr w:rsidR="00FC7B29" w:rsidRPr="00F10AAC" w14:paraId="3B34BF26" w14:textId="77777777" w:rsidTr="0027640C">
        <w:tc>
          <w:tcPr>
            <w:tcW w:w="14310" w:type="dxa"/>
            <w:gridSpan w:val="2"/>
            <w:shd w:val="clear" w:color="auto" w:fill="F79646"/>
          </w:tcPr>
          <w:p w14:paraId="01768764" w14:textId="0552E301" w:rsidR="00FC7B29" w:rsidRPr="00B4038F" w:rsidRDefault="00915E26" w:rsidP="00915E26">
            <w:pPr>
              <w:jc w:val="center"/>
              <w:rPr>
                <w:rFonts w:ascii="Calibri" w:hAnsi="Calibri"/>
                <w:i/>
                <w:sz w:val="18"/>
                <w:szCs w:val="18"/>
              </w:rPr>
            </w:pPr>
            <w:r w:rsidRPr="00915E26">
              <w:rPr>
                <w:rFonts w:ascii="Calibri" w:hAnsi="Calibri"/>
                <w:i/>
                <w:color w:val="FFFFFF" w:themeColor="background1"/>
                <w:sz w:val="18"/>
                <w:szCs w:val="18"/>
              </w:rPr>
              <w:t>When can eligibility for AB 167 be re-considered?</w:t>
            </w:r>
          </w:p>
        </w:tc>
      </w:tr>
      <w:tr w:rsidR="00FC7B29" w:rsidRPr="00F10AAC" w14:paraId="0C274551" w14:textId="77777777" w:rsidTr="001D6040">
        <w:tc>
          <w:tcPr>
            <w:tcW w:w="3870" w:type="dxa"/>
            <w:shd w:val="clear" w:color="auto" w:fill="F2F2F2" w:themeFill="background1" w:themeFillShade="F2"/>
          </w:tcPr>
          <w:p w14:paraId="7195FB01" w14:textId="7B2083A1" w:rsidR="00FC7B29" w:rsidRDefault="00915E26" w:rsidP="00915E26">
            <w:pPr>
              <w:jc w:val="both"/>
              <w:rPr>
                <w:rFonts w:ascii="Calibri" w:hAnsi="Calibri"/>
                <w:sz w:val="18"/>
                <w:szCs w:val="18"/>
              </w:rPr>
            </w:pPr>
            <w:r>
              <w:rPr>
                <w:rFonts w:ascii="Calibri" w:hAnsi="Calibri"/>
                <w:sz w:val="18"/>
                <w:szCs w:val="18"/>
              </w:rPr>
              <w:t>Right to re-consideration was unclear.</w:t>
            </w:r>
          </w:p>
        </w:tc>
        <w:tc>
          <w:tcPr>
            <w:tcW w:w="10440" w:type="dxa"/>
            <w:shd w:val="clear" w:color="auto" w:fill="F2F2F2" w:themeFill="background1" w:themeFillShade="F2"/>
          </w:tcPr>
          <w:p w14:paraId="26CFC78D" w14:textId="5F78CA7F" w:rsidR="00FC7B29" w:rsidRDefault="00915E26" w:rsidP="00915E26">
            <w:pPr>
              <w:jc w:val="both"/>
              <w:rPr>
                <w:rFonts w:ascii="Calibri" w:hAnsi="Calibri"/>
                <w:sz w:val="18"/>
                <w:szCs w:val="18"/>
              </w:rPr>
            </w:pPr>
            <w:r>
              <w:rPr>
                <w:rFonts w:ascii="Calibri" w:hAnsi="Calibri"/>
                <w:sz w:val="18"/>
                <w:szCs w:val="18"/>
              </w:rPr>
              <w:t xml:space="preserve">If a student is not initially eligible for AB 167 graduation when they first transfer, they have a right to ask for re-consideration of their eligibility at any later point.  If the student satisfies the requirements, the school must find him eligible.  </w:t>
            </w:r>
          </w:p>
        </w:tc>
      </w:tr>
      <w:tr w:rsidR="00FC7B29" w:rsidRPr="00F10AAC" w14:paraId="26943C88" w14:textId="77777777" w:rsidTr="0027640C">
        <w:tc>
          <w:tcPr>
            <w:tcW w:w="14310" w:type="dxa"/>
            <w:gridSpan w:val="2"/>
            <w:shd w:val="clear" w:color="auto" w:fill="F79646"/>
          </w:tcPr>
          <w:p w14:paraId="599AE6C7" w14:textId="3019D7A7" w:rsidR="00FC7B29" w:rsidRPr="00F10AAC" w:rsidRDefault="00915E26" w:rsidP="00915E26">
            <w:pPr>
              <w:jc w:val="center"/>
              <w:rPr>
                <w:rFonts w:ascii="Calibri" w:hAnsi="Calibri"/>
                <w:b/>
                <w:sz w:val="18"/>
                <w:szCs w:val="18"/>
              </w:rPr>
            </w:pPr>
            <w:r w:rsidRPr="00915E26">
              <w:rPr>
                <w:rFonts w:ascii="Calibri" w:hAnsi="Calibri"/>
                <w:i/>
                <w:color w:val="FFFFFF" w:themeColor="background1"/>
                <w:sz w:val="18"/>
                <w:szCs w:val="18"/>
              </w:rPr>
              <w:t>Once eligible, does the AB 167 graduation right continue even if a student’s foster case closes?</w:t>
            </w:r>
          </w:p>
        </w:tc>
      </w:tr>
      <w:tr w:rsidR="00FC7B29" w:rsidRPr="00F10AAC" w14:paraId="500CF4C1" w14:textId="77777777" w:rsidTr="0073274A">
        <w:tc>
          <w:tcPr>
            <w:tcW w:w="3870" w:type="dxa"/>
            <w:shd w:val="clear" w:color="auto" w:fill="F2F2F2" w:themeFill="background1" w:themeFillShade="F2"/>
          </w:tcPr>
          <w:p w14:paraId="1FE2F7E3" w14:textId="313C6A02" w:rsidR="00FC7B29" w:rsidRPr="00F10AAC" w:rsidRDefault="00915E26" w:rsidP="0027640C">
            <w:pPr>
              <w:jc w:val="both"/>
              <w:rPr>
                <w:rFonts w:ascii="Calibri" w:hAnsi="Calibri"/>
                <w:b/>
                <w:sz w:val="18"/>
                <w:szCs w:val="18"/>
              </w:rPr>
            </w:pPr>
            <w:r>
              <w:rPr>
                <w:rFonts w:ascii="Calibri" w:hAnsi="Calibri"/>
                <w:sz w:val="18"/>
                <w:szCs w:val="18"/>
              </w:rPr>
              <w:t>Right to continued eligibility after foster care case was closed was unclear.</w:t>
            </w:r>
          </w:p>
        </w:tc>
        <w:tc>
          <w:tcPr>
            <w:tcW w:w="10440" w:type="dxa"/>
            <w:shd w:val="clear" w:color="auto" w:fill="F2F2F2" w:themeFill="background1" w:themeFillShade="F2"/>
          </w:tcPr>
          <w:p w14:paraId="614C8812" w14:textId="360C89DD" w:rsidR="00FC7B29" w:rsidRPr="00CB2B71" w:rsidRDefault="00915E26" w:rsidP="00915E26">
            <w:pPr>
              <w:jc w:val="both"/>
              <w:rPr>
                <w:rFonts w:ascii="Calibri" w:hAnsi="Calibri"/>
                <w:sz w:val="18"/>
                <w:szCs w:val="18"/>
              </w:rPr>
            </w:pPr>
            <w:r>
              <w:rPr>
                <w:rFonts w:ascii="Calibri" w:hAnsi="Calibri"/>
                <w:sz w:val="18"/>
                <w:szCs w:val="18"/>
              </w:rPr>
              <w:t>Once a student is found eligible for AB 167 graduation, this right continues, regardless of whether the student’s foster case closes or they later change schools again.</w:t>
            </w:r>
          </w:p>
        </w:tc>
      </w:tr>
      <w:tr w:rsidR="00FC7B29" w:rsidRPr="00F10AAC" w14:paraId="212B1B7D" w14:textId="77777777" w:rsidTr="0027640C">
        <w:tc>
          <w:tcPr>
            <w:tcW w:w="14310" w:type="dxa"/>
            <w:gridSpan w:val="2"/>
            <w:shd w:val="clear" w:color="auto" w:fill="F79646"/>
          </w:tcPr>
          <w:p w14:paraId="1C165E44" w14:textId="77777777" w:rsidR="00FC7B29" w:rsidRPr="00F10AAC" w:rsidRDefault="00FC7B29" w:rsidP="00915E26">
            <w:pPr>
              <w:jc w:val="center"/>
              <w:rPr>
                <w:rFonts w:ascii="Calibri" w:hAnsi="Calibri"/>
                <w:b/>
                <w:sz w:val="18"/>
                <w:szCs w:val="18"/>
              </w:rPr>
            </w:pPr>
            <w:r w:rsidRPr="0027640C">
              <w:rPr>
                <w:rFonts w:ascii="Calibri" w:hAnsi="Calibri"/>
                <w:i/>
                <w:color w:val="FFFFFF" w:themeColor="background1"/>
                <w:sz w:val="18"/>
                <w:szCs w:val="18"/>
              </w:rPr>
              <w:t>Can a student transfer schools in order to qualify for the exemption?</w:t>
            </w:r>
          </w:p>
        </w:tc>
      </w:tr>
      <w:tr w:rsidR="00FC7B29" w:rsidRPr="00F10AAC" w14:paraId="21BEBD57" w14:textId="77777777" w:rsidTr="0073274A">
        <w:tc>
          <w:tcPr>
            <w:tcW w:w="3870" w:type="dxa"/>
            <w:shd w:val="clear" w:color="auto" w:fill="F2F2F2" w:themeFill="background1" w:themeFillShade="F2"/>
          </w:tcPr>
          <w:p w14:paraId="0DCA5A83" w14:textId="1D2F4A16" w:rsidR="00FC7B29" w:rsidRPr="00F10AAC" w:rsidRDefault="00915E26" w:rsidP="00915E26">
            <w:pPr>
              <w:jc w:val="both"/>
              <w:rPr>
                <w:rFonts w:ascii="Calibri" w:hAnsi="Calibri"/>
                <w:b/>
                <w:sz w:val="18"/>
                <w:szCs w:val="18"/>
              </w:rPr>
            </w:pPr>
            <w:r>
              <w:rPr>
                <w:rFonts w:ascii="Calibri" w:hAnsi="Calibri"/>
                <w:sz w:val="18"/>
                <w:szCs w:val="18"/>
              </w:rPr>
              <w:t>AB 167 did not clearly prohibit social workers from transferring students between schools to make them AB 167 eligible.</w:t>
            </w:r>
          </w:p>
        </w:tc>
        <w:tc>
          <w:tcPr>
            <w:tcW w:w="10440" w:type="dxa"/>
            <w:shd w:val="clear" w:color="auto" w:fill="F2F2F2" w:themeFill="background1" w:themeFillShade="F2"/>
          </w:tcPr>
          <w:p w14:paraId="26FF0DBC" w14:textId="48CC8437" w:rsidR="00FC7B29" w:rsidRPr="00CB2B71" w:rsidRDefault="00915E26" w:rsidP="00915E26">
            <w:pPr>
              <w:jc w:val="both"/>
              <w:rPr>
                <w:rFonts w:ascii="Calibri" w:hAnsi="Calibri"/>
                <w:sz w:val="18"/>
                <w:szCs w:val="18"/>
              </w:rPr>
            </w:pPr>
            <w:r w:rsidRPr="00F10AAC">
              <w:rPr>
                <w:rFonts w:ascii="Calibri" w:hAnsi="Calibri"/>
                <w:sz w:val="18"/>
                <w:szCs w:val="18"/>
              </w:rPr>
              <w:t>“Pupil in foster care” is defined to include any child removed from his home pursuant to WIC Section 309 or subject to a petition filed under WIC Sections 300 or 602 (Education Code § 51225.2).</w:t>
            </w:r>
          </w:p>
        </w:tc>
      </w:tr>
      <w:tr w:rsidR="001D6040" w:rsidRPr="0027640C" w14:paraId="3AE0F2D8" w14:textId="77777777" w:rsidTr="005B4759">
        <w:tc>
          <w:tcPr>
            <w:tcW w:w="14310" w:type="dxa"/>
            <w:gridSpan w:val="2"/>
            <w:shd w:val="clear" w:color="auto" w:fill="F79646"/>
          </w:tcPr>
          <w:p w14:paraId="4E8762AA" w14:textId="77777777" w:rsidR="001D6040" w:rsidRPr="0027640C" w:rsidRDefault="001D6040" w:rsidP="005B4759">
            <w:pPr>
              <w:jc w:val="center"/>
              <w:rPr>
                <w:rFonts w:ascii="Calibri" w:hAnsi="Calibri"/>
                <w:b/>
                <w:color w:val="FF0000"/>
                <w:sz w:val="18"/>
                <w:szCs w:val="18"/>
              </w:rPr>
            </w:pPr>
            <w:r w:rsidRPr="0027640C">
              <w:rPr>
                <w:rFonts w:ascii="Calibri" w:hAnsi="Calibri"/>
                <w:i/>
                <w:color w:val="FFFFFF" w:themeColor="background1"/>
                <w:sz w:val="18"/>
                <w:szCs w:val="18"/>
              </w:rPr>
              <w:t>Who qualifies as a “pupil in foster care”?</w:t>
            </w:r>
          </w:p>
        </w:tc>
      </w:tr>
      <w:tr w:rsidR="001D6040" w:rsidRPr="0027640C" w14:paraId="1E2A55C9" w14:textId="77777777" w:rsidTr="005B4759">
        <w:tc>
          <w:tcPr>
            <w:tcW w:w="3870" w:type="dxa"/>
            <w:shd w:val="clear" w:color="auto" w:fill="F2F2F2" w:themeFill="background1" w:themeFillShade="F2"/>
          </w:tcPr>
          <w:p w14:paraId="62D10F33" w14:textId="77777777" w:rsidR="001D6040" w:rsidRPr="00F10AAC" w:rsidRDefault="001D6040" w:rsidP="005B4759">
            <w:pPr>
              <w:jc w:val="both"/>
              <w:rPr>
                <w:rFonts w:ascii="Calibri" w:hAnsi="Calibri"/>
                <w:b/>
                <w:sz w:val="18"/>
                <w:szCs w:val="18"/>
              </w:rPr>
            </w:pPr>
            <w:r w:rsidRPr="00F10AAC">
              <w:rPr>
                <w:rFonts w:ascii="Calibri" w:hAnsi="Calibri"/>
                <w:sz w:val="18"/>
                <w:szCs w:val="18"/>
              </w:rPr>
              <w:t xml:space="preserve"> “Pupil in foster care” was undefined</w:t>
            </w:r>
          </w:p>
        </w:tc>
        <w:tc>
          <w:tcPr>
            <w:tcW w:w="10440" w:type="dxa"/>
            <w:shd w:val="clear" w:color="auto" w:fill="F2F2F2" w:themeFill="background1" w:themeFillShade="F2"/>
          </w:tcPr>
          <w:p w14:paraId="0941035A" w14:textId="77777777" w:rsidR="001D6040" w:rsidRPr="0027640C" w:rsidRDefault="001D6040" w:rsidP="005B4759">
            <w:pPr>
              <w:jc w:val="both"/>
              <w:rPr>
                <w:rFonts w:ascii="Calibri" w:hAnsi="Calibri"/>
                <w:sz w:val="18"/>
                <w:szCs w:val="18"/>
              </w:rPr>
            </w:pPr>
            <w:r w:rsidRPr="00F10AAC">
              <w:rPr>
                <w:rFonts w:ascii="Calibri" w:hAnsi="Calibri"/>
                <w:sz w:val="18"/>
                <w:szCs w:val="18"/>
              </w:rPr>
              <w:t xml:space="preserve">“Pupil in foster care” is defined to include any child removed from his home pursuant to WIC Section 309 or subject to a petition filed under WIC Sections 300 or 602 (Education Code § 51225.2). </w:t>
            </w:r>
          </w:p>
        </w:tc>
      </w:tr>
    </w:tbl>
    <w:p w14:paraId="5FF885A5" w14:textId="6EC0F37E" w:rsidR="0027640C" w:rsidRDefault="0027640C" w:rsidP="0027640C">
      <w:pPr>
        <w:rPr>
          <w:rFonts w:asciiTheme="majorHAnsi" w:hAnsiTheme="majorHAnsi"/>
          <w:sz w:val="24"/>
          <w:szCs w:val="24"/>
        </w:rPr>
      </w:pPr>
    </w:p>
    <w:sectPr w:rsidR="0027640C" w:rsidSect="001D6040">
      <w:headerReference w:type="default" r:id="rId8"/>
      <w:footerReference w:type="even" r:id="rId9"/>
      <w:footerReference w:type="default" r:id="rId1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F427" w14:textId="77777777" w:rsidR="000A207A" w:rsidRDefault="000A207A" w:rsidP="00DB5109">
      <w:r>
        <w:separator/>
      </w:r>
    </w:p>
  </w:endnote>
  <w:endnote w:type="continuationSeparator" w:id="0">
    <w:p w14:paraId="58F73631" w14:textId="77777777" w:rsidR="000A207A" w:rsidRDefault="000A207A" w:rsidP="00D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3402" w14:textId="3D8B3CEF" w:rsidR="00915E26" w:rsidRPr="00DB5109" w:rsidRDefault="00915E26" w:rsidP="00DB5109">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D12F" w14:textId="21AD64D5" w:rsidR="00915E26" w:rsidRDefault="00915E26" w:rsidP="00DB5109">
    <w:pPr>
      <w:pStyle w:val="Footer"/>
      <w:jc w:val="center"/>
    </w:pPr>
    <w:r>
      <w:rPr>
        <w:noProof/>
      </w:rPr>
      <w:drawing>
        <wp:inline distT="0" distB="0" distL="0" distR="0" wp14:anchorId="14020836" wp14:editId="0EA56AE9">
          <wp:extent cx="3860800" cy="311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860800" cy="3117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97B52" w14:textId="77777777" w:rsidR="000A207A" w:rsidRDefault="000A207A" w:rsidP="00DB5109">
      <w:r>
        <w:separator/>
      </w:r>
    </w:p>
  </w:footnote>
  <w:footnote w:type="continuationSeparator" w:id="0">
    <w:p w14:paraId="5D53EE65" w14:textId="77777777" w:rsidR="000A207A" w:rsidRDefault="000A207A" w:rsidP="00DB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49BE" w14:textId="321CD423" w:rsidR="00915E26" w:rsidRPr="0027640C" w:rsidRDefault="00915E26" w:rsidP="00813557">
    <w:pPr>
      <w:ind w:left="7200"/>
      <w:rPr>
        <w:rFonts w:asciiTheme="majorHAnsi" w:hAnsiTheme="majorHAnsi"/>
        <w:b/>
        <w:sz w:val="22"/>
        <w:szCs w:val="22"/>
      </w:rPr>
    </w:pPr>
    <w:r>
      <w:rPr>
        <w:noProof/>
      </w:rPr>
      <w:drawing>
        <wp:anchor distT="0" distB="0" distL="114300" distR="114300" simplePos="0" relativeHeight="251659264" behindDoc="0" locked="0" layoutInCell="1" allowOverlap="1" wp14:anchorId="75699D87" wp14:editId="7DE0730B">
          <wp:simplePos x="0" y="0"/>
          <wp:positionH relativeFrom="column">
            <wp:posOffset>55880</wp:posOffset>
          </wp:positionH>
          <wp:positionV relativeFrom="paragraph">
            <wp:posOffset>-60325</wp:posOffset>
          </wp:positionV>
          <wp:extent cx="1422400" cy="730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422400" cy="730250"/>
                  </a:xfrm>
                  <a:prstGeom prst="rect">
                    <a:avLst/>
                  </a:prstGeom>
                </pic:spPr>
              </pic:pic>
            </a:graphicData>
          </a:graphic>
          <wp14:sizeRelH relativeFrom="page">
            <wp14:pctWidth>0</wp14:pctWidth>
          </wp14:sizeRelH>
          <wp14:sizeRelV relativeFrom="page">
            <wp14:pctHeight>0</wp14:pctHeight>
          </wp14:sizeRelV>
        </wp:anchor>
      </w:drawing>
    </w:r>
    <w:r w:rsidRPr="00DB5109">
      <w:rPr>
        <w:rFonts w:asciiTheme="majorHAnsi" w:hAnsiTheme="majorHAnsi"/>
        <w:b/>
        <w:sz w:val="28"/>
        <w:szCs w:val="22"/>
      </w:rPr>
      <w:t>Assembly Bill 216:</w:t>
    </w:r>
  </w:p>
  <w:p w14:paraId="7CEC4B1D" w14:textId="17030DDF" w:rsidR="00915E26" w:rsidRPr="00DB5109" w:rsidRDefault="00813557" w:rsidP="00813557">
    <w:pPr>
      <w:ind w:left="4320"/>
      <w:rPr>
        <w:rFonts w:asciiTheme="majorHAnsi" w:hAnsiTheme="majorHAnsi"/>
        <w:b/>
        <w:sz w:val="28"/>
        <w:szCs w:val="22"/>
      </w:rPr>
    </w:pPr>
    <w:r>
      <w:rPr>
        <w:rFonts w:asciiTheme="majorHAnsi" w:hAnsiTheme="majorHAnsi"/>
        <w:b/>
        <w:sz w:val="28"/>
        <w:szCs w:val="22"/>
      </w:rPr>
      <w:tab/>
    </w:r>
    <w:r>
      <w:rPr>
        <w:rFonts w:asciiTheme="majorHAnsi" w:hAnsiTheme="majorHAnsi"/>
        <w:b/>
        <w:sz w:val="28"/>
        <w:szCs w:val="22"/>
      </w:rPr>
      <w:tab/>
    </w:r>
    <w:r>
      <w:rPr>
        <w:rFonts w:asciiTheme="majorHAnsi" w:hAnsiTheme="majorHAnsi"/>
        <w:b/>
        <w:sz w:val="28"/>
        <w:szCs w:val="22"/>
      </w:rPr>
      <w:tab/>
      <w:t xml:space="preserve">           </w:t>
    </w:r>
    <w:r w:rsidR="00915E26" w:rsidRPr="00DB5109">
      <w:rPr>
        <w:rFonts w:asciiTheme="majorHAnsi" w:hAnsiTheme="majorHAnsi"/>
        <w:b/>
        <w:sz w:val="28"/>
        <w:szCs w:val="22"/>
      </w:rPr>
      <w:t>Updates to AB 167</w:t>
    </w:r>
  </w:p>
  <w:p w14:paraId="4B29C53D" w14:textId="61EC51AB" w:rsidR="00915E26" w:rsidRDefault="00915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B8"/>
    <w:multiLevelType w:val="hybridMultilevel"/>
    <w:tmpl w:val="941E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653FF"/>
    <w:multiLevelType w:val="hybridMultilevel"/>
    <w:tmpl w:val="301A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2574B0"/>
    <w:multiLevelType w:val="hybridMultilevel"/>
    <w:tmpl w:val="BDF281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634EED"/>
    <w:multiLevelType w:val="hybridMultilevel"/>
    <w:tmpl w:val="351CB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307567"/>
    <w:multiLevelType w:val="hybridMultilevel"/>
    <w:tmpl w:val="D7A449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BE444C"/>
    <w:multiLevelType w:val="hybridMultilevel"/>
    <w:tmpl w:val="9EB408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9673A8"/>
    <w:multiLevelType w:val="hybridMultilevel"/>
    <w:tmpl w:val="8D8CD1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FC2328"/>
    <w:multiLevelType w:val="hybridMultilevel"/>
    <w:tmpl w:val="E48445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798EB2A">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4"/>
    <w:rsid w:val="0008616E"/>
    <w:rsid w:val="000A207A"/>
    <w:rsid w:val="000F70E9"/>
    <w:rsid w:val="001D6040"/>
    <w:rsid w:val="002468C3"/>
    <w:rsid w:val="0027640C"/>
    <w:rsid w:val="002E7E68"/>
    <w:rsid w:val="003063D3"/>
    <w:rsid w:val="003710B0"/>
    <w:rsid w:val="003E14FB"/>
    <w:rsid w:val="0058183F"/>
    <w:rsid w:val="00586E44"/>
    <w:rsid w:val="0073274A"/>
    <w:rsid w:val="007E684D"/>
    <w:rsid w:val="00800874"/>
    <w:rsid w:val="00813557"/>
    <w:rsid w:val="0087363D"/>
    <w:rsid w:val="008C06B8"/>
    <w:rsid w:val="00915E26"/>
    <w:rsid w:val="009A6741"/>
    <w:rsid w:val="00B15EA8"/>
    <w:rsid w:val="00C97824"/>
    <w:rsid w:val="00DB1395"/>
    <w:rsid w:val="00DB5109"/>
    <w:rsid w:val="00DB6003"/>
    <w:rsid w:val="00DE1DA8"/>
    <w:rsid w:val="00EB0AC1"/>
    <w:rsid w:val="00ED3C32"/>
    <w:rsid w:val="00FC54B6"/>
    <w:rsid w:val="00FC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29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44"/>
    <w:pPr>
      <w:ind w:left="720"/>
      <w:contextualSpacing/>
    </w:pPr>
  </w:style>
  <w:style w:type="paragraph" w:styleId="Header">
    <w:name w:val="header"/>
    <w:basedOn w:val="Normal"/>
    <w:link w:val="HeaderChar"/>
    <w:uiPriority w:val="99"/>
    <w:unhideWhenUsed/>
    <w:rsid w:val="00DB5109"/>
    <w:pPr>
      <w:tabs>
        <w:tab w:val="center" w:pos="4680"/>
        <w:tab w:val="right" w:pos="9360"/>
      </w:tabs>
    </w:pPr>
  </w:style>
  <w:style w:type="character" w:customStyle="1" w:styleId="HeaderChar">
    <w:name w:val="Header Char"/>
    <w:basedOn w:val="DefaultParagraphFont"/>
    <w:link w:val="Header"/>
    <w:uiPriority w:val="99"/>
    <w:rsid w:val="00DB5109"/>
  </w:style>
  <w:style w:type="paragraph" w:styleId="Footer">
    <w:name w:val="footer"/>
    <w:basedOn w:val="Normal"/>
    <w:link w:val="FooterChar"/>
    <w:uiPriority w:val="99"/>
    <w:unhideWhenUsed/>
    <w:rsid w:val="00DB5109"/>
    <w:pPr>
      <w:tabs>
        <w:tab w:val="center" w:pos="4680"/>
        <w:tab w:val="right" w:pos="9360"/>
      </w:tabs>
    </w:pPr>
  </w:style>
  <w:style w:type="character" w:customStyle="1" w:styleId="FooterChar">
    <w:name w:val="Footer Char"/>
    <w:basedOn w:val="DefaultParagraphFont"/>
    <w:link w:val="Footer"/>
    <w:uiPriority w:val="99"/>
    <w:rsid w:val="00DB5109"/>
  </w:style>
  <w:style w:type="paragraph" w:styleId="BalloonText">
    <w:name w:val="Balloon Text"/>
    <w:basedOn w:val="Normal"/>
    <w:link w:val="BalloonTextChar"/>
    <w:uiPriority w:val="99"/>
    <w:semiHidden/>
    <w:unhideWhenUsed/>
    <w:rsid w:val="00DB5109"/>
    <w:rPr>
      <w:rFonts w:ascii="Tahoma" w:hAnsi="Tahoma" w:cs="Tahoma"/>
      <w:sz w:val="16"/>
      <w:szCs w:val="16"/>
    </w:rPr>
  </w:style>
  <w:style w:type="character" w:customStyle="1" w:styleId="BalloonTextChar">
    <w:name w:val="Balloon Text Char"/>
    <w:basedOn w:val="DefaultParagraphFont"/>
    <w:link w:val="BalloonText"/>
    <w:uiPriority w:val="99"/>
    <w:semiHidden/>
    <w:rsid w:val="00DB5109"/>
    <w:rPr>
      <w:rFonts w:ascii="Tahoma" w:hAnsi="Tahoma" w:cs="Tahoma"/>
      <w:sz w:val="16"/>
      <w:szCs w:val="16"/>
    </w:rPr>
  </w:style>
  <w:style w:type="table" w:styleId="TableGrid">
    <w:name w:val="Table Grid"/>
    <w:basedOn w:val="TableNormal"/>
    <w:uiPriority w:val="59"/>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44"/>
    <w:pPr>
      <w:ind w:left="720"/>
      <w:contextualSpacing/>
    </w:pPr>
  </w:style>
  <w:style w:type="paragraph" w:styleId="Header">
    <w:name w:val="header"/>
    <w:basedOn w:val="Normal"/>
    <w:link w:val="HeaderChar"/>
    <w:uiPriority w:val="99"/>
    <w:unhideWhenUsed/>
    <w:rsid w:val="00DB5109"/>
    <w:pPr>
      <w:tabs>
        <w:tab w:val="center" w:pos="4680"/>
        <w:tab w:val="right" w:pos="9360"/>
      </w:tabs>
    </w:pPr>
  </w:style>
  <w:style w:type="character" w:customStyle="1" w:styleId="HeaderChar">
    <w:name w:val="Header Char"/>
    <w:basedOn w:val="DefaultParagraphFont"/>
    <w:link w:val="Header"/>
    <w:uiPriority w:val="99"/>
    <w:rsid w:val="00DB5109"/>
  </w:style>
  <w:style w:type="paragraph" w:styleId="Footer">
    <w:name w:val="footer"/>
    <w:basedOn w:val="Normal"/>
    <w:link w:val="FooterChar"/>
    <w:uiPriority w:val="99"/>
    <w:unhideWhenUsed/>
    <w:rsid w:val="00DB5109"/>
    <w:pPr>
      <w:tabs>
        <w:tab w:val="center" w:pos="4680"/>
        <w:tab w:val="right" w:pos="9360"/>
      </w:tabs>
    </w:pPr>
  </w:style>
  <w:style w:type="character" w:customStyle="1" w:styleId="FooterChar">
    <w:name w:val="Footer Char"/>
    <w:basedOn w:val="DefaultParagraphFont"/>
    <w:link w:val="Footer"/>
    <w:uiPriority w:val="99"/>
    <w:rsid w:val="00DB5109"/>
  </w:style>
  <w:style w:type="paragraph" w:styleId="BalloonText">
    <w:name w:val="Balloon Text"/>
    <w:basedOn w:val="Normal"/>
    <w:link w:val="BalloonTextChar"/>
    <w:uiPriority w:val="99"/>
    <w:semiHidden/>
    <w:unhideWhenUsed/>
    <w:rsid w:val="00DB5109"/>
    <w:rPr>
      <w:rFonts w:ascii="Tahoma" w:hAnsi="Tahoma" w:cs="Tahoma"/>
      <w:sz w:val="16"/>
      <w:szCs w:val="16"/>
    </w:rPr>
  </w:style>
  <w:style w:type="character" w:customStyle="1" w:styleId="BalloonTextChar">
    <w:name w:val="Balloon Text Char"/>
    <w:basedOn w:val="DefaultParagraphFont"/>
    <w:link w:val="BalloonText"/>
    <w:uiPriority w:val="99"/>
    <w:semiHidden/>
    <w:rsid w:val="00DB5109"/>
    <w:rPr>
      <w:rFonts w:ascii="Tahoma" w:hAnsi="Tahoma" w:cs="Tahoma"/>
      <w:sz w:val="16"/>
      <w:szCs w:val="16"/>
    </w:rPr>
  </w:style>
  <w:style w:type="table" w:styleId="TableGrid">
    <w:name w:val="Table Grid"/>
    <w:basedOn w:val="TableNormal"/>
    <w:uiPriority w:val="59"/>
    <w:rsid w:val="00FC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Fern</dc:creator>
  <cp:lastModifiedBy>Tessa Carmen Deroy</cp:lastModifiedBy>
  <cp:revision>2</cp:revision>
  <dcterms:created xsi:type="dcterms:W3CDTF">2013-11-08T00:48:00Z</dcterms:created>
  <dcterms:modified xsi:type="dcterms:W3CDTF">2013-11-08T00:48:00Z</dcterms:modified>
</cp:coreProperties>
</file>